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604"/>
        <w:gridCol w:w="735"/>
        <w:gridCol w:w="11415"/>
        <w:gridCol w:w="885"/>
        <w:gridCol w:w="900"/>
        <w:gridCol w:w="600"/>
      </w:tblGrid>
      <w:tr w14:paraId="0C70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5139" w:type="dxa"/>
            <w:gridSpan w:val="6"/>
          </w:tcPr>
          <w:p w14:paraId="475FAB31">
            <w:pPr>
              <w:jc w:val="center"/>
              <w:rPr>
                <w:rFonts w:hint="eastAsia"/>
                <w:sz w:val="24"/>
                <w:szCs w:val="24"/>
                <w:vertAlign w:val="baseline"/>
              </w:rPr>
            </w:pPr>
            <w:r>
              <w:rPr>
                <w:rFonts w:hint="eastAsia"/>
                <w:b/>
                <w:bCs/>
                <w:sz w:val="36"/>
                <w:szCs w:val="36"/>
                <w:vertAlign w:val="baseline"/>
              </w:rPr>
              <w:t>2025-YXZB-001师宗县人民医院医学装备采购需求表</w:t>
            </w:r>
          </w:p>
        </w:tc>
      </w:tr>
      <w:tr w14:paraId="156B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4" w:type="dxa"/>
          </w:tcPr>
          <w:p w14:paraId="749EFF2E">
            <w:pPr>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735" w:type="dxa"/>
          </w:tcPr>
          <w:p w14:paraId="542B6167">
            <w:pPr>
              <w:rPr>
                <w:rFonts w:hint="eastAsia" w:eastAsiaTheme="minorEastAsia"/>
                <w:sz w:val="24"/>
                <w:szCs w:val="24"/>
                <w:vertAlign w:val="baseline"/>
                <w:lang w:val="en-US" w:eastAsia="zh-CN"/>
              </w:rPr>
            </w:pPr>
            <w:r>
              <w:rPr>
                <w:rFonts w:hint="eastAsia"/>
                <w:sz w:val="24"/>
                <w:szCs w:val="24"/>
                <w:vertAlign w:val="baseline"/>
                <w:lang w:val="en-US" w:eastAsia="zh-CN"/>
              </w:rPr>
              <w:t>设备名称</w:t>
            </w:r>
          </w:p>
        </w:tc>
        <w:tc>
          <w:tcPr>
            <w:tcW w:w="11415" w:type="dxa"/>
          </w:tcPr>
          <w:p w14:paraId="110B0BFC">
            <w:pPr>
              <w:jc w:val="center"/>
              <w:rPr>
                <w:rFonts w:hint="eastAsia" w:eastAsiaTheme="minorEastAsia"/>
                <w:sz w:val="24"/>
                <w:szCs w:val="24"/>
                <w:vertAlign w:val="baseline"/>
                <w:lang w:val="en-US" w:eastAsia="zh-CN"/>
              </w:rPr>
            </w:pPr>
            <w:r>
              <w:rPr>
                <w:rFonts w:hint="eastAsia"/>
                <w:sz w:val="24"/>
                <w:szCs w:val="24"/>
                <w:vertAlign w:val="baseline"/>
                <w:lang w:val="en-US" w:eastAsia="zh-CN"/>
              </w:rPr>
              <w:t>技术参数</w:t>
            </w:r>
          </w:p>
        </w:tc>
        <w:tc>
          <w:tcPr>
            <w:tcW w:w="885" w:type="dxa"/>
          </w:tcPr>
          <w:p w14:paraId="6FDBE0BB">
            <w:pPr>
              <w:rPr>
                <w:rFonts w:hint="eastAsia"/>
                <w:sz w:val="24"/>
                <w:szCs w:val="24"/>
                <w:vertAlign w:val="baseline"/>
              </w:rPr>
            </w:pPr>
            <w:r>
              <w:rPr>
                <w:rFonts w:hint="eastAsia"/>
                <w:sz w:val="24"/>
                <w:szCs w:val="24"/>
                <w:vertAlign w:val="baseline"/>
              </w:rPr>
              <w:t>数量（台/套）</w:t>
            </w:r>
          </w:p>
        </w:tc>
        <w:tc>
          <w:tcPr>
            <w:tcW w:w="900" w:type="dxa"/>
          </w:tcPr>
          <w:p w14:paraId="65C168D7">
            <w:pPr>
              <w:rPr>
                <w:rFonts w:hint="eastAsia"/>
                <w:sz w:val="24"/>
                <w:szCs w:val="24"/>
                <w:vertAlign w:val="baseline"/>
              </w:rPr>
            </w:pPr>
            <w:r>
              <w:rPr>
                <w:rFonts w:hint="eastAsia"/>
                <w:sz w:val="24"/>
                <w:szCs w:val="24"/>
                <w:vertAlign w:val="baseline"/>
              </w:rPr>
              <w:t>预算价(万元）</w:t>
            </w:r>
          </w:p>
        </w:tc>
        <w:tc>
          <w:tcPr>
            <w:tcW w:w="600" w:type="dxa"/>
          </w:tcPr>
          <w:p w14:paraId="06637E69">
            <w:pPr>
              <w:rPr>
                <w:rFonts w:hint="eastAsia" w:eastAsiaTheme="minorEastAsia"/>
                <w:sz w:val="24"/>
                <w:szCs w:val="24"/>
                <w:vertAlign w:val="baseline"/>
                <w:lang w:val="en-US" w:eastAsia="zh-CN"/>
              </w:rPr>
            </w:pPr>
            <w:r>
              <w:rPr>
                <w:rFonts w:hint="eastAsia"/>
                <w:sz w:val="24"/>
                <w:szCs w:val="24"/>
                <w:vertAlign w:val="baseline"/>
                <w:lang w:val="en-US" w:eastAsia="zh-CN"/>
              </w:rPr>
              <w:t>备注</w:t>
            </w:r>
          </w:p>
        </w:tc>
      </w:tr>
      <w:tr w14:paraId="45E2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4" w:type="dxa"/>
          </w:tcPr>
          <w:p w14:paraId="568AF7E1">
            <w:pPr>
              <w:rPr>
                <w:rFonts w:hint="eastAsia"/>
                <w:sz w:val="24"/>
                <w:szCs w:val="24"/>
                <w:vertAlign w:val="baseline"/>
                <w:lang w:val="en-US" w:eastAsia="zh-CN"/>
              </w:rPr>
            </w:pPr>
          </w:p>
          <w:p w14:paraId="3696ABF5">
            <w:pPr>
              <w:rPr>
                <w:rFonts w:hint="eastAsia"/>
                <w:sz w:val="24"/>
                <w:szCs w:val="24"/>
                <w:vertAlign w:val="baseline"/>
                <w:lang w:val="en-US" w:eastAsia="zh-CN"/>
              </w:rPr>
            </w:pPr>
          </w:p>
          <w:p w14:paraId="1D467533">
            <w:pPr>
              <w:rPr>
                <w:rFonts w:hint="eastAsia"/>
                <w:sz w:val="24"/>
                <w:szCs w:val="24"/>
                <w:vertAlign w:val="baseline"/>
                <w:lang w:val="en-US" w:eastAsia="zh-CN"/>
              </w:rPr>
            </w:pPr>
          </w:p>
          <w:p w14:paraId="3DAB08BF">
            <w:pPr>
              <w:rPr>
                <w:rFonts w:hint="eastAsia"/>
                <w:sz w:val="24"/>
                <w:szCs w:val="24"/>
                <w:vertAlign w:val="baseline"/>
                <w:lang w:val="en-US" w:eastAsia="zh-CN"/>
              </w:rPr>
            </w:pPr>
          </w:p>
          <w:p w14:paraId="17239A12">
            <w:pPr>
              <w:rPr>
                <w:rFonts w:hint="eastAsia"/>
                <w:sz w:val="24"/>
                <w:szCs w:val="24"/>
                <w:vertAlign w:val="baseline"/>
                <w:lang w:val="en-US" w:eastAsia="zh-CN"/>
              </w:rPr>
            </w:pPr>
          </w:p>
          <w:p w14:paraId="629356B4">
            <w:pPr>
              <w:rPr>
                <w:rFonts w:hint="eastAsia"/>
                <w:sz w:val="24"/>
                <w:szCs w:val="24"/>
                <w:vertAlign w:val="baseline"/>
                <w:lang w:val="en-US" w:eastAsia="zh-CN"/>
              </w:rPr>
            </w:pPr>
          </w:p>
          <w:p w14:paraId="638005AF">
            <w:pPr>
              <w:rPr>
                <w:rFonts w:hint="eastAsia"/>
                <w:sz w:val="24"/>
                <w:szCs w:val="24"/>
                <w:vertAlign w:val="baseline"/>
                <w:lang w:val="en-US" w:eastAsia="zh-CN"/>
              </w:rPr>
            </w:pPr>
          </w:p>
          <w:p w14:paraId="28B5CFA1">
            <w:pPr>
              <w:rPr>
                <w:rFonts w:hint="eastAsia"/>
                <w:sz w:val="24"/>
                <w:szCs w:val="24"/>
                <w:vertAlign w:val="baseline"/>
                <w:lang w:val="en-US" w:eastAsia="zh-CN"/>
              </w:rPr>
            </w:pPr>
          </w:p>
          <w:p w14:paraId="3FC4356A">
            <w:pPr>
              <w:rPr>
                <w:rFonts w:hint="eastAsia"/>
                <w:sz w:val="24"/>
                <w:szCs w:val="24"/>
                <w:vertAlign w:val="baseline"/>
                <w:lang w:val="en-US" w:eastAsia="zh-CN"/>
              </w:rPr>
            </w:pPr>
          </w:p>
          <w:p w14:paraId="7F7BEC14">
            <w:pPr>
              <w:rPr>
                <w:rFonts w:hint="eastAsia"/>
                <w:sz w:val="24"/>
                <w:szCs w:val="24"/>
                <w:vertAlign w:val="baseline"/>
                <w:lang w:val="en-US" w:eastAsia="zh-CN"/>
              </w:rPr>
            </w:pPr>
          </w:p>
          <w:p w14:paraId="3419B701">
            <w:pP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735" w:type="dxa"/>
          </w:tcPr>
          <w:p w14:paraId="48C276FF">
            <w:pPr>
              <w:rPr>
                <w:rFonts w:hint="eastAsia"/>
                <w:sz w:val="24"/>
                <w:szCs w:val="24"/>
                <w:vertAlign w:val="baseline"/>
              </w:rPr>
            </w:pPr>
          </w:p>
          <w:p w14:paraId="1BE7CE8A">
            <w:pPr>
              <w:rPr>
                <w:rFonts w:hint="eastAsia"/>
                <w:sz w:val="24"/>
                <w:szCs w:val="24"/>
                <w:vertAlign w:val="baseline"/>
              </w:rPr>
            </w:pPr>
          </w:p>
          <w:p w14:paraId="60672220">
            <w:pPr>
              <w:rPr>
                <w:rFonts w:hint="eastAsia"/>
                <w:sz w:val="24"/>
                <w:szCs w:val="24"/>
                <w:vertAlign w:val="baseline"/>
              </w:rPr>
            </w:pPr>
          </w:p>
          <w:p w14:paraId="539189BD">
            <w:pPr>
              <w:rPr>
                <w:rFonts w:hint="eastAsia"/>
                <w:sz w:val="24"/>
                <w:szCs w:val="24"/>
                <w:vertAlign w:val="baseline"/>
              </w:rPr>
            </w:pPr>
          </w:p>
          <w:p w14:paraId="1B974C4F">
            <w:pPr>
              <w:rPr>
                <w:rFonts w:hint="eastAsia"/>
                <w:sz w:val="24"/>
                <w:szCs w:val="24"/>
                <w:vertAlign w:val="baseline"/>
              </w:rPr>
            </w:pPr>
          </w:p>
          <w:p w14:paraId="7C96D2C8">
            <w:pPr>
              <w:rPr>
                <w:rFonts w:hint="eastAsia"/>
                <w:sz w:val="24"/>
                <w:szCs w:val="24"/>
                <w:vertAlign w:val="baseline"/>
              </w:rPr>
            </w:pPr>
          </w:p>
          <w:p w14:paraId="287EF8ED">
            <w:pPr>
              <w:rPr>
                <w:rFonts w:hint="eastAsia"/>
                <w:sz w:val="24"/>
                <w:szCs w:val="24"/>
                <w:vertAlign w:val="baseline"/>
              </w:rPr>
            </w:pPr>
          </w:p>
          <w:p w14:paraId="7E7DD7F3">
            <w:pPr>
              <w:rPr>
                <w:rFonts w:hint="eastAsia"/>
                <w:sz w:val="24"/>
                <w:szCs w:val="24"/>
                <w:vertAlign w:val="baseline"/>
              </w:rPr>
            </w:pPr>
          </w:p>
          <w:p w14:paraId="4AFA98AD">
            <w:pPr>
              <w:rPr>
                <w:rFonts w:hint="eastAsia"/>
                <w:sz w:val="24"/>
                <w:szCs w:val="24"/>
                <w:vertAlign w:val="baseline"/>
              </w:rPr>
            </w:pPr>
          </w:p>
          <w:p w14:paraId="0060B137">
            <w:pPr>
              <w:rPr>
                <w:rFonts w:hint="eastAsia"/>
                <w:sz w:val="24"/>
                <w:szCs w:val="24"/>
                <w:vertAlign w:val="baseline"/>
              </w:rPr>
            </w:pPr>
            <w:r>
              <w:rPr>
                <w:rFonts w:hint="eastAsia"/>
                <w:sz w:val="24"/>
                <w:szCs w:val="24"/>
                <w:vertAlign w:val="baseline"/>
              </w:rPr>
              <w:t>心理测评系统</w:t>
            </w:r>
          </w:p>
        </w:tc>
        <w:tc>
          <w:tcPr>
            <w:tcW w:w="11415" w:type="dxa"/>
          </w:tcPr>
          <w:p w14:paraId="57F2282C">
            <w:pPr>
              <w:rPr>
                <w:rFonts w:hint="eastAsia"/>
                <w:sz w:val="24"/>
                <w:szCs w:val="24"/>
              </w:rPr>
            </w:pPr>
            <w:r>
              <w:rPr>
                <w:rFonts w:hint="eastAsia"/>
                <w:sz w:val="24"/>
                <w:szCs w:val="24"/>
              </w:rPr>
              <w:t xml:space="preserve">1)数量：1套，测试端5个； </w:t>
            </w:r>
            <w:bookmarkStart w:id="0" w:name="_GoBack"/>
            <w:bookmarkEnd w:id="0"/>
          </w:p>
          <w:p w14:paraId="46DBBCDD">
            <w:pPr>
              <w:rPr>
                <w:rFonts w:hint="eastAsia"/>
                <w:sz w:val="24"/>
                <w:szCs w:val="24"/>
              </w:rPr>
            </w:pPr>
            <w:r>
              <w:rPr>
                <w:rFonts w:hint="eastAsia"/>
                <w:sz w:val="24"/>
                <w:szCs w:val="24"/>
              </w:rPr>
              <w:t>2）★版本：网络版</w:t>
            </w:r>
          </w:p>
          <w:p w14:paraId="55497D87">
            <w:pPr>
              <w:rPr>
                <w:rFonts w:hint="eastAsia"/>
                <w:sz w:val="24"/>
                <w:szCs w:val="24"/>
              </w:rPr>
            </w:pPr>
            <w:r>
              <w:rPr>
                <w:rFonts w:hint="eastAsia"/>
                <w:sz w:val="24"/>
                <w:szCs w:val="24"/>
              </w:rPr>
              <w:t xml:space="preserve">3)网络功能：系统为网络版，医生端可支持局域网内测试端连接。医生端具有完整的系统功能，可以进行量表测试，查看测试报告，打印测试报告，进行统计分析，趋势分析，进行心理咨询记录等； </w:t>
            </w:r>
          </w:p>
          <w:p w14:paraId="2BD934F5">
            <w:pPr>
              <w:rPr>
                <w:rFonts w:hint="eastAsia"/>
                <w:sz w:val="24"/>
                <w:szCs w:val="24"/>
              </w:rPr>
            </w:pPr>
            <w:r>
              <w:rPr>
                <w:rFonts w:hint="eastAsia"/>
                <w:sz w:val="24"/>
                <w:szCs w:val="24"/>
              </w:rPr>
              <w:t>4)医生端连接删除：服务端提供医生端连接删除功能，可对无效医生端连接进行删除，并断开医生端。（提供截图或照片等证明材料）</w:t>
            </w:r>
          </w:p>
          <w:p w14:paraId="2641D329">
            <w:pPr>
              <w:rPr>
                <w:rFonts w:hint="eastAsia"/>
                <w:sz w:val="24"/>
                <w:szCs w:val="24"/>
              </w:rPr>
            </w:pPr>
            <w:r>
              <w:rPr>
                <w:rFonts w:hint="eastAsia"/>
                <w:sz w:val="24"/>
                <w:szCs w:val="24"/>
              </w:rPr>
              <w:t>5)适应操作系统：支持32、64位操作系统，支持Win10，向下兼容至Win XP数据库支持： Sql server或Oracle或Mysql</w:t>
            </w:r>
          </w:p>
          <w:p w14:paraId="728AD04D">
            <w:pPr>
              <w:rPr>
                <w:rFonts w:hint="eastAsia"/>
                <w:sz w:val="24"/>
                <w:szCs w:val="24"/>
              </w:rPr>
            </w:pPr>
            <w:r>
              <w:rPr>
                <w:rFonts w:hint="eastAsia"/>
                <w:sz w:val="24"/>
                <w:szCs w:val="24"/>
              </w:rPr>
              <w:t>6)多人测试结果同时录入功能：系统满足多人同时进行测试结果的录入，录入同时也可修改其中某个人单独的测试结果。</w:t>
            </w:r>
          </w:p>
          <w:p w14:paraId="175FEA5A">
            <w:pPr>
              <w:rPr>
                <w:rFonts w:hint="eastAsia"/>
                <w:sz w:val="24"/>
                <w:szCs w:val="24"/>
              </w:rPr>
            </w:pPr>
            <w:r>
              <w:rPr>
                <w:rFonts w:hint="eastAsia"/>
                <w:sz w:val="24"/>
                <w:szCs w:val="24"/>
              </w:rPr>
              <w:t>7)导出excel表格功能：系统可以同时导出多个病人的编号、姓名、年龄、性别、入院年份、测试状态、测试时间、测试用时、科室名称、预警结果和所测试量表的名称信息，汇总成一个表格方便医院查看。</w:t>
            </w:r>
          </w:p>
          <w:p w14:paraId="71EC1CDA">
            <w:pPr>
              <w:rPr>
                <w:rFonts w:hint="eastAsia"/>
                <w:sz w:val="24"/>
                <w:szCs w:val="24"/>
              </w:rPr>
            </w:pPr>
            <w:r>
              <w:rPr>
                <w:rFonts w:hint="eastAsia"/>
                <w:sz w:val="24"/>
                <w:szCs w:val="24"/>
              </w:rPr>
              <w:t>8)量表数量：包括临床测验，焦虑和抑郁测验，心理健康测验，婚姻家庭功能测验，智力和人格测验，儿童和青少年，学习职业相关测验7大类测验，至少380个量表，既包含了医院常用的明尼苏达多相人格测验，焦虑自评量表，抑郁自评量表，韦氏智力量表，阳性症状量表(SAPS)，阴性症状量表(SANS)，又包含了其他通用量表16PF，SCL90等，系统还包含杨氏躁狂评定量表（YMRS）、攻击风险因素评估量表、自杀风险因素评估量表、治疗中需处理的不良反应量表(TESS)、护士用住院病人观察量表（NOSIE）、阳性和阴性症状量表(PANSS)、PEP3评估量表，MINI量表等。（提供PEP3评估量表及MINI各分量表的软件界面截图及报告截图）</w:t>
            </w:r>
          </w:p>
          <w:p w14:paraId="06E9F20A">
            <w:pPr>
              <w:rPr>
                <w:rFonts w:hint="eastAsia"/>
                <w:sz w:val="24"/>
                <w:szCs w:val="24"/>
              </w:rPr>
            </w:pPr>
            <w:r>
              <w:rPr>
                <w:rFonts w:hint="eastAsia"/>
                <w:sz w:val="24"/>
                <w:szCs w:val="24"/>
              </w:rPr>
              <w:t>9)包含综合生理心理社会健康评估量表（UPPSAQ-70）。</w:t>
            </w:r>
          </w:p>
          <w:p w14:paraId="4073CD0C">
            <w:pPr>
              <w:rPr>
                <w:rFonts w:hint="eastAsia"/>
                <w:sz w:val="24"/>
                <w:szCs w:val="24"/>
              </w:rPr>
            </w:pPr>
            <w:r>
              <w:rPr>
                <w:rFonts w:hint="eastAsia"/>
                <w:sz w:val="24"/>
                <w:szCs w:val="24"/>
              </w:rPr>
              <w:t>10)提供综合生理心理社会健康评估量表（UPPSAQ-70）相关证明材料如检测报告或授权文件等。</w:t>
            </w:r>
          </w:p>
          <w:p w14:paraId="75E4E292">
            <w:pPr>
              <w:rPr>
                <w:rFonts w:hint="eastAsia"/>
                <w:sz w:val="24"/>
                <w:szCs w:val="24"/>
              </w:rPr>
            </w:pPr>
            <w:r>
              <w:rPr>
                <w:rFonts w:hint="eastAsia"/>
                <w:sz w:val="24"/>
                <w:szCs w:val="24"/>
              </w:rPr>
              <w:t>11)个性心理评估：包括能力（智力）、气质、性格、需要、动机、兴趣、价值观等内容。可用于了解个体发展的水平及不同个体的个性差异，包括艾森克人格问卷（EPQ）、卡特尔多项人格测验（16PF）、瑞文标准推理测验（SPM）、A型行为类型问卷（TABP）、霍兰德职业倾向系列问卷等。</w:t>
            </w:r>
          </w:p>
          <w:p w14:paraId="35E0EB68">
            <w:pPr>
              <w:rPr>
                <w:rFonts w:hint="eastAsia"/>
                <w:sz w:val="24"/>
                <w:szCs w:val="24"/>
              </w:rPr>
            </w:pPr>
            <w:r>
              <w:rPr>
                <w:rFonts w:hint="eastAsia"/>
                <w:sz w:val="24"/>
                <w:szCs w:val="24"/>
              </w:rPr>
              <w:t>12)健康心理评估：包括短期内个体心理的健康状态的评估，如抑郁、焦虑、人际关系敏感、孤独感、应激症状等，包括症状自评量表（SCL-90）、创伤性应激障碍检查表（PCL）、明尼苏达多相人格调查表（MMPI）、儿童自我意识量表（PHCSS）、焦虑自评量表（SAS）、抑郁自评量表（SDS）、婚姻质量问卷等。</w:t>
            </w:r>
          </w:p>
          <w:p w14:paraId="26950DB3">
            <w:pPr>
              <w:rPr>
                <w:rFonts w:hint="eastAsia"/>
                <w:sz w:val="24"/>
                <w:szCs w:val="24"/>
              </w:rPr>
            </w:pPr>
            <w:r>
              <w:rPr>
                <w:rFonts w:hint="eastAsia"/>
                <w:sz w:val="24"/>
                <w:szCs w:val="24"/>
              </w:rPr>
              <w:t>13)精神障碍评估：包括心理和行为异常的评估，如焦虑症、抑郁症、强迫症等。有简明精神病量表（BPRS）、阳性症状量表（SAPS）、阴性症状量表（SANS）、Bech-Rafaelsen躁狂量表（BRMS）、精神病人护理观察量表（NORS）、儿童多动症行为量表等。</w:t>
            </w:r>
          </w:p>
          <w:p w14:paraId="2963A4CD">
            <w:pPr>
              <w:rPr>
                <w:rFonts w:hint="eastAsia"/>
                <w:sz w:val="24"/>
                <w:szCs w:val="24"/>
              </w:rPr>
            </w:pPr>
            <w:r>
              <w:rPr>
                <w:rFonts w:hint="eastAsia"/>
                <w:sz w:val="24"/>
                <w:szCs w:val="24"/>
              </w:rPr>
              <w:t>14)神经心理评估：可评价认知功能，如注意力、执行能力、记忆力、视觉空间能力、语言能力及情绪行为控制力等脑功能损伤或下降。包括简明精神状态量表（MMSE）、简易智力检测量表（AMTS）、画钟测验、连线测验、日常生活能力量表（ADL）等。</w:t>
            </w:r>
          </w:p>
          <w:p w14:paraId="4769105F">
            <w:pPr>
              <w:rPr>
                <w:rFonts w:hint="eastAsia"/>
                <w:sz w:val="24"/>
                <w:szCs w:val="24"/>
              </w:rPr>
            </w:pPr>
            <w:r>
              <w:rPr>
                <w:rFonts w:hint="eastAsia"/>
                <w:sz w:val="24"/>
                <w:szCs w:val="24"/>
              </w:rPr>
              <w:t>15)真人语音读题：专业的语音读题，语音可重复播放。</w:t>
            </w:r>
          </w:p>
          <w:p w14:paraId="05DF6AE9">
            <w:pPr>
              <w:rPr>
                <w:rFonts w:hint="eastAsia"/>
                <w:sz w:val="24"/>
                <w:szCs w:val="24"/>
              </w:rPr>
            </w:pPr>
            <w:r>
              <w:rPr>
                <w:rFonts w:hint="eastAsia"/>
                <w:sz w:val="24"/>
                <w:szCs w:val="24"/>
              </w:rPr>
              <w:t>16)心理测评报告：有测试结果、详细分析和剖面图，可导出word、pdf等多种格式，支持打印，且可以批量打印。</w:t>
            </w:r>
          </w:p>
          <w:p w14:paraId="7CE175B0">
            <w:pPr>
              <w:rPr>
                <w:rFonts w:hint="eastAsia"/>
                <w:sz w:val="24"/>
                <w:szCs w:val="24"/>
              </w:rPr>
            </w:pPr>
            <w:r>
              <w:rPr>
                <w:rFonts w:hint="eastAsia"/>
                <w:sz w:val="24"/>
                <w:szCs w:val="24"/>
              </w:rPr>
              <w:t>17)测试进度保存：系统可自动保存被试者测试进度，避免电脑断电或死机后，被试者从头重新进行量表测试。</w:t>
            </w:r>
          </w:p>
          <w:p w14:paraId="0303EDD4">
            <w:pPr>
              <w:rPr>
                <w:rFonts w:hint="eastAsia"/>
                <w:sz w:val="24"/>
                <w:szCs w:val="24"/>
              </w:rPr>
            </w:pPr>
            <w:r>
              <w:rPr>
                <w:rFonts w:hint="eastAsia"/>
                <w:sz w:val="24"/>
                <w:szCs w:val="24"/>
              </w:rPr>
              <w:t>18)综合团体报告：可对团体报告多量表进行综合分析，给出统一团体报告。</w:t>
            </w:r>
          </w:p>
          <w:p w14:paraId="3634C54F">
            <w:pPr>
              <w:rPr>
                <w:rFonts w:hint="eastAsia"/>
                <w:sz w:val="24"/>
                <w:szCs w:val="24"/>
              </w:rPr>
            </w:pPr>
            <w:r>
              <w:rPr>
                <w:rFonts w:hint="eastAsia"/>
                <w:sz w:val="24"/>
                <w:szCs w:val="24"/>
              </w:rPr>
              <w:t>19)心理危机预警：关键的心理健康测试项目，需要有危机预警功能，结论中有预警标记，数据中用颜色区分不同严重程度的病人。</w:t>
            </w:r>
          </w:p>
          <w:p w14:paraId="595E11EF">
            <w:pPr>
              <w:rPr>
                <w:rFonts w:hint="eastAsia"/>
                <w:sz w:val="24"/>
                <w:szCs w:val="24"/>
              </w:rPr>
            </w:pPr>
            <w:r>
              <w:rPr>
                <w:rFonts w:hint="eastAsia"/>
                <w:sz w:val="24"/>
                <w:szCs w:val="24"/>
              </w:rPr>
              <w:t>20)群体危机预警报告：可以统计群体中各种症状的人群数目，自动出报告，可打印或导出到word，pdf格式。</w:t>
            </w:r>
          </w:p>
          <w:p w14:paraId="498D95CE">
            <w:pPr>
              <w:rPr>
                <w:rFonts w:hint="eastAsia"/>
                <w:sz w:val="24"/>
                <w:szCs w:val="24"/>
              </w:rPr>
            </w:pPr>
            <w:r>
              <w:rPr>
                <w:rFonts w:hint="eastAsia"/>
                <w:sz w:val="24"/>
                <w:szCs w:val="24"/>
              </w:rPr>
              <w:t>21)咨询预约：可预约安排院内心理咨询日程，方便医生咨询工作。</w:t>
            </w:r>
          </w:p>
          <w:p w14:paraId="290BD8C3">
            <w:pPr>
              <w:rPr>
                <w:rFonts w:hint="eastAsia"/>
                <w:sz w:val="24"/>
                <w:szCs w:val="24"/>
              </w:rPr>
            </w:pPr>
            <w:r>
              <w:rPr>
                <w:rFonts w:hint="eastAsia"/>
                <w:sz w:val="24"/>
                <w:szCs w:val="24"/>
              </w:rPr>
              <w:t>22)★咨询管理：有初诊接待记录表、咨询记录表、结案表等，可记录完整心理咨询过程，能生成心理咨询记录报告；支持批量打印和导出。须提供由具有检验检测机构资质的机构出具的有效合格检验检测报告复印件进行佐证，检测报告上须体现“CMA” 标志。</w:t>
            </w:r>
          </w:p>
          <w:p w14:paraId="68E6FDC0">
            <w:pPr>
              <w:rPr>
                <w:rFonts w:hint="eastAsia"/>
                <w:sz w:val="24"/>
                <w:szCs w:val="24"/>
              </w:rPr>
            </w:pPr>
            <w:r>
              <w:rPr>
                <w:rFonts w:hint="eastAsia"/>
                <w:sz w:val="24"/>
                <w:szCs w:val="24"/>
              </w:rPr>
              <w:t>23)心理档案管理：可查询个体做过的量表结论，也可查询某个量表所测的人。</w:t>
            </w:r>
          </w:p>
          <w:p w14:paraId="0547D23D">
            <w:pPr>
              <w:rPr>
                <w:rFonts w:hint="eastAsia"/>
                <w:sz w:val="24"/>
                <w:szCs w:val="24"/>
              </w:rPr>
            </w:pPr>
            <w:r>
              <w:rPr>
                <w:rFonts w:hint="eastAsia"/>
                <w:sz w:val="24"/>
                <w:szCs w:val="24"/>
              </w:rPr>
              <w:t>24)统计分析：可统计某个量表所有被测者的基本统计量，可生成柱状图；统计分析报告可打印，可导出；可导出所有测试结果、原始数据到excel表格。须提供由具有检验检测机构资质的机构出具的有效合格检验检测报告复印件进行佐证，检测报告上须体现“CMA” 标志。</w:t>
            </w:r>
          </w:p>
          <w:p w14:paraId="4298507A">
            <w:pPr>
              <w:rPr>
                <w:rFonts w:hint="eastAsia"/>
                <w:sz w:val="24"/>
                <w:szCs w:val="24"/>
              </w:rPr>
            </w:pPr>
            <w:r>
              <w:rPr>
                <w:rFonts w:hint="eastAsia"/>
                <w:sz w:val="24"/>
                <w:szCs w:val="24"/>
              </w:rPr>
              <w:t>25)团体报告：可根据多个单人分析报告情况汇总自动生成团体心理分析报告，分析测试团体整体的心理状况，报告中包含多种统计报表。</w:t>
            </w:r>
          </w:p>
          <w:p w14:paraId="4E444D8C">
            <w:pPr>
              <w:rPr>
                <w:rFonts w:hint="eastAsia"/>
                <w:sz w:val="24"/>
                <w:szCs w:val="24"/>
              </w:rPr>
            </w:pPr>
            <w:r>
              <w:rPr>
                <w:rFonts w:hint="eastAsia"/>
                <w:sz w:val="24"/>
                <w:szCs w:val="24"/>
              </w:rPr>
              <w:t>26)★趋势分析：一个测试者多次重测一个量表后，可生成走势图；支持多因子同时分析，一图多线。趋势分析报告可打印和导出。须提供由具有检验检测机构资质的机构出具的有效合格检验检测报告复印件进行佐证，检测报告上须体现“CMA” 标志。</w:t>
            </w:r>
          </w:p>
          <w:p w14:paraId="29F9EB02">
            <w:pPr>
              <w:rPr>
                <w:rFonts w:hint="eastAsia"/>
                <w:sz w:val="24"/>
                <w:szCs w:val="24"/>
              </w:rPr>
            </w:pPr>
            <w:r>
              <w:rPr>
                <w:rFonts w:hint="eastAsia"/>
                <w:sz w:val="24"/>
                <w:szCs w:val="24"/>
              </w:rPr>
              <w:t>27)分级管理自定义：系统须分级来管理测试者，至少分三级；病人可归属到具体医生。</w:t>
            </w:r>
          </w:p>
          <w:p w14:paraId="4259F8A3">
            <w:pPr>
              <w:rPr>
                <w:rFonts w:hint="eastAsia"/>
                <w:sz w:val="24"/>
                <w:szCs w:val="24"/>
              </w:rPr>
            </w:pPr>
            <w:r>
              <w:rPr>
                <w:rFonts w:hint="eastAsia"/>
                <w:sz w:val="24"/>
                <w:szCs w:val="24"/>
              </w:rPr>
              <w:t>28)人员信息自定义：管理员和被测试者的信息可自定义扩展，至少可扩展4种信息。</w:t>
            </w:r>
          </w:p>
          <w:p w14:paraId="112C5F39">
            <w:pPr>
              <w:rPr>
                <w:rFonts w:hint="eastAsia"/>
                <w:sz w:val="24"/>
                <w:szCs w:val="24"/>
              </w:rPr>
            </w:pPr>
            <w:r>
              <w:rPr>
                <w:rFonts w:hint="eastAsia"/>
                <w:sz w:val="24"/>
                <w:szCs w:val="24"/>
              </w:rPr>
              <w:t>29)数据查找筛选：可以按分级管理定义的级别快速查询，可按当日、本周、本月、本年、姓名快速查询，可以多条件的组合查询。</w:t>
            </w:r>
          </w:p>
          <w:p w14:paraId="2801E004">
            <w:pPr>
              <w:rPr>
                <w:rFonts w:hint="eastAsia"/>
                <w:sz w:val="24"/>
                <w:szCs w:val="24"/>
              </w:rPr>
            </w:pPr>
            <w:r>
              <w:rPr>
                <w:rFonts w:hint="eastAsia"/>
                <w:sz w:val="24"/>
                <w:szCs w:val="24"/>
              </w:rPr>
              <w:t>30)★量表设置：可修改量表显示名称，所有量表均可打印成纸质量表。须提供由具有检验检测机构资质的机构出具的有效合格检验检测报告复印件进行佐证，检测报告上须体现“CMA” 标志。</w:t>
            </w:r>
          </w:p>
          <w:p w14:paraId="4D536038">
            <w:pPr>
              <w:rPr>
                <w:rFonts w:hint="eastAsia"/>
                <w:sz w:val="24"/>
                <w:szCs w:val="24"/>
              </w:rPr>
            </w:pPr>
            <w:r>
              <w:rPr>
                <w:rFonts w:hint="eastAsia"/>
                <w:sz w:val="24"/>
                <w:szCs w:val="24"/>
              </w:rPr>
              <w:t>31)原始数据导入：可导入原始作答数据，系统自动分析生成测试报告。</w:t>
            </w:r>
          </w:p>
          <w:p w14:paraId="07B7B8EA">
            <w:pPr>
              <w:rPr>
                <w:rFonts w:hint="eastAsia"/>
                <w:sz w:val="24"/>
                <w:szCs w:val="24"/>
              </w:rPr>
            </w:pPr>
            <w:r>
              <w:rPr>
                <w:rFonts w:hint="eastAsia"/>
                <w:sz w:val="24"/>
                <w:szCs w:val="24"/>
              </w:rPr>
              <w:t>32)总体报告：可将某个测试者测过量表测试结果组成一个总体报告，可自主选择量表；总体报告可打印和导出。</w:t>
            </w:r>
          </w:p>
          <w:p w14:paraId="3E58E7CB">
            <w:pPr>
              <w:rPr>
                <w:rFonts w:hint="eastAsia"/>
                <w:sz w:val="24"/>
                <w:szCs w:val="24"/>
              </w:rPr>
            </w:pPr>
            <w:r>
              <w:rPr>
                <w:rFonts w:hint="eastAsia"/>
                <w:sz w:val="24"/>
                <w:szCs w:val="24"/>
              </w:rPr>
              <w:t>33)★套餐测试：可多个量表组成套餐测试，套餐设置数目不受限制。须提供由具有检验检测机构资质的机构出具的有效合格检验检测报告复印件进行佐证，检测报告上须体现“CMA” 标志。</w:t>
            </w:r>
          </w:p>
          <w:p w14:paraId="288AA33C">
            <w:pPr>
              <w:rPr>
                <w:rFonts w:hint="eastAsia"/>
                <w:sz w:val="24"/>
                <w:szCs w:val="24"/>
              </w:rPr>
            </w:pPr>
            <w:r>
              <w:rPr>
                <w:rFonts w:hint="eastAsia"/>
                <w:sz w:val="24"/>
                <w:szCs w:val="24"/>
              </w:rPr>
              <w:t>34)拼音检索：支持测试者姓名首字母检索数据；支持量表名称首字母检索量表。</w:t>
            </w:r>
          </w:p>
          <w:p w14:paraId="086A9B75">
            <w:pPr>
              <w:rPr>
                <w:rFonts w:hint="eastAsia"/>
                <w:sz w:val="24"/>
                <w:szCs w:val="24"/>
              </w:rPr>
            </w:pPr>
            <w:r>
              <w:rPr>
                <w:rFonts w:hint="eastAsia"/>
                <w:sz w:val="24"/>
                <w:szCs w:val="24"/>
              </w:rPr>
              <w:t>35)数据分页：系统数据支持分页功能，避免数据加载过慢。</w:t>
            </w:r>
          </w:p>
          <w:p w14:paraId="554C48ED">
            <w:pPr>
              <w:rPr>
                <w:rFonts w:hint="eastAsia"/>
                <w:sz w:val="24"/>
                <w:szCs w:val="24"/>
              </w:rPr>
            </w:pPr>
            <w:r>
              <w:rPr>
                <w:rFonts w:hint="eastAsia"/>
                <w:sz w:val="24"/>
                <w:szCs w:val="24"/>
              </w:rPr>
              <w:t>36)条目显示：单条目显示，做好一题自动跳转，且可以返回重做。</w:t>
            </w:r>
          </w:p>
          <w:p w14:paraId="29837ED4">
            <w:pPr>
              <w:rPr>
                <w:rFonts w:hint="eastAsia"/>
                <w:sz w:val="24"/>
                <w:szCs w:val="24"/>
              </w:rPr>
            </w:pPr>
            <w:r>
              <w:rPr>
                <w:rFonts w:hint="eastAsia"/>
                <w:sz w:val="24"/>
                <w:szCs w:val="24"/>
              </w:rPr>
              <w:t>37)常用量表：可自定义最常使用的量表到“常用量表”类中；能根据使用频次智能显示常用量表，直接从常用量表中测试和查询数据。</w:t>
            </w:r>
          </w:p>
          <w:p w14:paraId="13B7ACC7">
            <w:pPr>
              <w:rPr>
                <w:rFonts w:hint="eastAsia"/>
                <w:sz w:val="24"/>
                <w:szCs w:val="24"/>
              </w:rPr>
            </w:pPr>
            <w:r>
              <w:rPr>
                <w:rFonts w:hint="eastAsia"/>
                <w:sz w:val="24"/>
                <w:szCs w:val="24"/>
              </w:rPr>
              <w:t>38)报告大小：至少支持A5、A4和16K三种纸张的报告，可选择。</w:t>
            </w:r>
          </w:p>
          <w:p w14:paraId="6FB3AF2F">
            <w:pPr>
              <w:rPr>
                <w:rFonts w:hint="eastAsia"/>
                <w:sz w:val="24"/>
                <w:szCs w:val="24"/>
              </w:rPr>
            </w:pPr>
            <w:r>
              <w:rPr>
                <w:rFonts w:hint="eastAsia"/>
                <w:sz w:val="24"/>
                <w:szCs w:val="24"/>
              </w:rPr>
              <w:t>39)自动签名：可以设置测试报告自动签名。</w:t>
            </w:r>
          </w:p>
          <w:p w14:paraId="03B8D0EC">
            <w:pPr>
              <w:rPr>
                <w:rFonts w:hint="eastAsia"/>
                <w:sz w:val="24"/>
                <w:szCs w:val="24"/>
              </w:rPr>
            </w:pPr>
            <w:r>
              <w:rPr>
                <w:rFonts w:hint="eastAsia"/>
                <w:sz w:val="24"/>
                <w:szCs w:val="24"/>
              </w:rPr>
              <w:t>40)修改测试报告：可手动修改测试报告，并自动保存到数据库中。</w:t>
            </w:r>
          </w:p>
          <w:p w14:paraId="23D32C46">
            <w:pPr>
              <w:rPr>
                <w:rFonts w:hint="eastAsia"/>
                <w:sz w:val="24"/>
                <w:szCs w:val="24"/>
              </w:rPr>
            </w:pPr>
            <w:r>
              <w:rPr>
                <w:rFonts w:hint="eastAsia"/>
                <w:sz w:val="24"/>
                <w:szCs w:val="24"/>
              </w:rPr>
              <w:t>41)数据安全：可自动备份，可一键恢复数据。</w:t>
            </w:r>
          </w:p>
          <w:p w14:paraId="7015CEFA">
            <w:pPr>
              <w:rPr>
                <w:rFonts w:hint="eastAsia"/>
                <w:sz w:val="24"/>
                <w:szCs w:val="24"/>
              </w:rPr>
            </w:pPr>
            <w:r>
              <w:rPr>
                <w:rFonts w:hint="eastAsia"/>
                <w:sz w:val="24"/>
                <w:szCs w:val="24"/>
              </w:rPr>
              <w:t>42)皮肤功能：可自定义更改系统皮肤配色。</w:t>
            </w:r>
          </w:p>
          <w:p w14:paraId="7F48A2C1">
            <w:pPr>
              <w:rPr>
                <w:rFonts w:hint="eastAsia"/>
                <w:sz w:val="24"/>
                <w:szCs w:val="24"/>
              </w:rPr>
            </w:pPr>
            <w:r>
              <w:rPr>
                <w:rFonts w:hint="eastAsia"/>
                <w:sz w:val="24"/>
                <w:szCs w:val="24"/>
              </w:rPr>
              <w:t>43)脑电设备可采集脑电，血氧等信息。</w:t>
            </w:r>
          </w:p>
          <w:p w14:paraId="58E2188C">
            <w:pPr>
              <w:rPr>
                <w:rFonts w:hint="eastAsia"/>
                <w:sz w:val="24"/>
                <w:szCs w:val="24"/>
              </w:rPr>
            </w:pPr>
            <w:r>
              <w:rPr>
                <w:rFonts w:hint="eastAsia"/>
                <w:sz w:val="24"/>
                <w:szCs w:val="24"/>
              </w:rPr>
              <w:t>44)★提供生产厂家的心理测量软件网络版的著作权。</w:t>
            </w:r>
          </w:p>
          <w:p w14:paraId="7D2CF9D5">
            <w:pPr>
              <w:rPr>
                <w:rFonts w:hint="eastAsia"/>
                <w:sz w:val="24"/>
                <w:szCs w:val="24"/>
              </w:rPr>
            </w:pPr>
            <w:r>
              <w:rPr>
                <w:rFonts w:hint="eastAsia"/>
                <w:sz w:val="24"/>
                <w:szCs w:val="24"/>
              </w:rPr>
              <w:t>45)提供生产厂家的心理测量软件网络版的检测报告。检测报告须带“CMA”标志。</w:t>
            </w:r>
          </w:p>
          <w:p w14:paraId="1FC6CDD9">
            <w:pPr>
              <w:rPr>
                <w:rFonts w:hint="eastAsia"/>
                <w:sz w:val="24"/>
                <w:szCs w:val="24"/>
              </w:rPr>
            </w:pPr>
            <w:r>
              <w:rPr>
                <w:rFonts w:hint="eastAsia"/>
                <w:sz w:val="24"/>
                <w:szCs w:val="24"/>
              </w:rPr>
              <w:t>46)软件检测报告须体现投标产品为网络版产品，cs架构需体现服务器端和客户端，体现测试网络环境。</w:t>
            </w:r>
          </w:p>
          <w:p w14:paraId="164D135A">
            <w:pPr>
              <w:rPr>
                <w:rFonts w:hint="eastAsia"/>
                <w:sz w:val="24"/>
                <w:szCs w:val="24"/>
              </w:rPr>
            </w:pPr>
            <w:r>
              <w:rPr>
                <w:rFonts w:hint="eastAsia"/>
                <w:sz w:val="24"/>
                <w:szCs w:val="24"/>
              </w:rPr>
              <w:t>47)依据“GB/T22239-2019 《信息安全技术网络安全等级保护基本要求》第三级安全通用要求”中“8.1.4 安全计算环境”标准，满足医院信息安全相关要求，并提供相关证明材料。</w:t>
            </w:r>
          </w:p>
          <w:p w14:paraId="4F1262E1">
            <w:pPr>
              <w:rPr>
                <w:rFonts w:hint="eastAsia"/>
                <w:sz w:val="24"/>
                <w:szCs w:val="24"/>
              </w:rPr>
            </w:pPr>
            <w:r>
              <w:rPr>
                <w:rFonts w:hint="eastAsia"/>
                <w:sz w:val="24"/>
                <w:szCs w:val="24"/>
              </w:rPr>
              <w:t>48)对系统相关敏感信息进行脱敏处理，并提供相关方案及数据截图。</w:t>
            </w:r>
          </w:p>
          <w:p w14:paraId="47E7FBC5">
            <w:pPr>
              <w:rPr>
                <w:sz w:val="24"/>
                <w:szCs w:val="24"/>
              </w:rPr>
            </w:pPr>
            <w:r>
              <w:rPr>
                <w:rFonts w:hint="eastAsia"/>
                <w:sz w:val="24"/>
                <w:szCs w:val="24"/>
              </w:rPr>
              <w:t>49）提供应用单位应用良好证明文件复印件至少5份，文件须含应用单位公章。</w:t>
            </w:r>
          </w:p>
          <w:p w14:paraId="1CF4CD0B">
            <w:pPr>
              <w:rPr>
                <w:rFonts w:hint="eastAsia"/>
                <w:sz w:val="24"/>
                <w:szCs w:val="24"/>
                <w:vertAlign w:val="baseline"/>
              </w:rPr>
            </w:pPr>
          </w:p>
        </w:tc>
        <w:tc>
          <w:tcPr>
            <w:tcW w:w="885" w:type="dxa"/>
          </w:tcPr>
          <w:p w14:paraId="0A7B8DF6">
            <w:pPr>
              <w:rPr>
                <w:rFonts w:hint="eastAsia"/>
                <w:b/>
                <w:bCs/>
                <w:sz w:val="36"/>
                <w:szCs w:val="36"/>
                <w:vertAlign w:val="baseline"/>
                <w:lang w:val="en-US" w:eastAsia="zh-CN"/>
              </w:rPr>
            </w:pPr>
          </w:p>
          <w:p w14:paraId="2E621D9D">
            <w:pPr>
              <w:rPr>
                <w:rFonts w:hint="eastAsia"/>
                <w:b/>
                <w:bCs/>
                <w:sz w:val="36"/>
                <w:szCs w:val="36"/>
                <w:vertAlign w:val="baseline"/>
                <w:lang w:val="en-US" w:eastAsia="zh-CN"/>
              </w:rPr>
            </w:pPr>
          </w:p>
          <w:p w14:paraId="0621E99A">
            <w:pPr>
              <w:rPr>
                <w:rFonts w:hint="eastAsia"/>
                <w:b/>
                <w:bCs/>
                <w:sz w:val="36"/>
                <w:szCs w:val="36"/>
                <w:vertAlign w:val="baseline"/>
                <w:lang w:val="en-US" w:eastAsia="zh-CN"/>
              </w:rPr>
            </w:pPr>
          </w:p>
          <w:p w14:paraId="7B099847">
            <w:pPr>
              <w:rPr>
                <w:rFonts w:hint="eastAsia"/>
                <w:b/>
                <w:bCs/>
                <w:sz w:val="36"/>
                <w:szCs w:val="36"/>
                <w:vertAlign w:val="baseline"/>
                <w:lang w:val="en-US" w:eastAsia="zh-CN"/>
              </w:rPr>
            </w:pPr>
          </w:p>
          <w:p w14:paraId="1AEBB50D">
            <w:pPr>
              <w:rPr>
                <w:rFonts w:hint="eastAsia"/>
                <w:b/>
                <w:bCs/>
                <w:sz w:val="36"/>
                <w:szCs w:val="36"/>
                <w:vertAlign w:val="baseline"/>
                <w:lang w:val="en-US" w:eastAsia="zh-CN"/>
              </w:rPr>
            </w:pPr>
          </w:p>
          <w:p w14:paraId="38614547">
            <w:pPr>
              <w:rPr>
                <w:rFonts w:hint="eastAsia"/>
                <w:b/>
                <w:bCs/>
                <w:sz w:val="36"/>
                <w:szCs w:val="36"/>
                <w:vertAlign w:val="baseline"/>
                <w:lang w:val="en-US" w:eastAsia="zh-CN"/>
              </w:rPr>
            </w:pPr>
          </w:p>
          <w:p w14:paraId="1EDECB24">
            <w:pPr>
              <w:rPr>
                <w:rFonts w:hint="eastAsia"/>
                <w:b/>
                <w:bCs/>
                <w:sz w:val="36"/>
                <w:szCs w:val="36"/>
                <w:vertAlign w:val="baseline"/>
                <w:lang w:val="en-US" w:eastAsia="zh-CN"/>
              </w:rPr>
            </w:pPr>
          </w:p>
          <w:p w14:paraId="1915CCDB">
            <w:pPr>
              <w:rPr>
                <w:rFonts w:hint="eastAsia"/>
                <w:b/>
                <w:bCs/>
                <w:sz w:val="36"/>
                <w:szCs w:val="36"/>
                <w:vertAlign w:val="baseline"/>
                <w:lang w:val="en-US" w:eastAsia="zh-CN"/>
              </w:rPr>
            </w:pPr>
          </w:p>
          <w:p w14:paraId="46E42DC7">
            <w:pPr>
              <w:rPr>
                <w:rFonts w:hint="eastAsia"/>
                <w:b/>
                <w:bCs/>
                <w:sz w:val="36"/>
                <w:szCs w:val="36"/>
                <w:vertAlign w:val="baseline"/>
                <w:lang w:val="en-US" w:eastAsia="zh-CN"/>
              </w:rPr>
            </w:pPr>
          </w:p>
          <w:p w14:paraId="5FD685F6">
            <w:pPr>
              <w:rPr>
                <w:rFonts w:hint="eastAsia"/>
                <w:b/>
                <w:bCs/>
                <w:sz w:val="36"/>
                <w:szCs w:val="36"/>
                <w:vertAlign w:val="baseline"/>
                <w:lang w:val="en-US" w:eastAsia="zh-CN"/>
              </w:rPr>
            </w:pPr>
          </w:p>
          <w:p w14:paraId="278BB710">
            <w:pPr>
              <w:rPr>
                <w:rFonts w:hint="eastAsia"/>
                <w:b/>
                <w:bCs/>
                <w:sz w:val="36"/>
                <w:szCs w:val="36"/>
                <w:vertAlign w:val="baseline"/>
                <w:lang w:val="en-US" w:eastAsia="zh-CN"/>
              </w:rPr>
            </w:pPr>
          </w:p>
          <w:p w14:paraId="240AE443">
            <w:pPr>
              <w:rPr>
                <w:rFonts w:hint="eastAsia"/>
                <w:b/>
                <w:bCs/>
                <w:sz w:val="36"/>
                <w:szCs w:val="36"/>
                <w:vertAlign w:val="baseline"/>
                <w:lang w:val="en-US" w:eastAsia="zh-CN"/>
              </w:rPr>
            </w:pPr>
          </w:p>
          <w:p w14:paraId="2966DDF5">
            <w:pPr>
              <w:rPr>
                <w:rFonts w:hint="eastAsia"/>
                <w:b/>
                <w:bCs/>
                <w:sz w:val="36"/>
                <w:szCs w:val="36"/>
                <w:vertAlign w:val="baseline"/>
                <w:lang w:val="en-US" w:eastAsia="zh-CN"/>
              </w:rPr>
            </w:pPr>
          </w:p>
          <w:p w14:paraId="68DE47D1">
            <w:pPr>
              <w:rPr>
                <w:rFonts w:hint="eastAsia" w:eastAsiaTheme="minorEastAsia"/>
                <w:b/>
                <w:bCs/>
                <w:sz w:val="36"/>
                <w:szCs w:val="36"/>
                <w:vertAlign w:val="baseline"/>
                <w:lang w:val="en-US" w:eastAsia="zh-CN"/>
              </w:rPr>
            </w:pPr>
            <w:r>
              <w:rPr>
                <w:rFonts w:hint="eastAsia"/>
                <w:b/>
                <w:bCs/>
                <w:sz w:val="36"/>
                <w:szCs w:val="36"/>
                <w:vertAlign w:val="baseline"/>
                <w:lang w:val="en-US" w:eastAsia="zh-CN"/>
              </w:rPr>
              <w:t>1</w:t>
            </w:r>
          </w:p>
        </w:tc>
        <w:tc>
          <w:tcPr>
            <w:tcW w:w="900" w:type="dxa"/>
          </w:tcPr>
          <w:p w14:paraId="4A0D74AF">
            <w:pPr>
              <w:rPr>
                <w:rFonts w:hint="eastAsia"/>
                <w:b/>
                <w:bCs/>
                <w:sz w:val="36"/>
                <w:szCs w:val="36"/>
                <w:vertAlign w:val="baseline"/>
                <w:lang w:val="en-US" w:eastAsia="zh-CN"/>
              </w:rPr>
            </w:pPr>
          </w:p>
          <w:p w14:paraId="0314658D">
            <w:pPr>
              <w:rPr>
                <w:rFonts w:hint="eastAsia"/>
                <w:b/>
                <w:bCs/>
                <w:sz w:val="36"/>
                <w:szCs w:val="36"/>
                <w:vertAlign w:val="baseline"/>
                <w:lang w:val="en-US" w:eastAsia="zh-CN"/>
              </w:rPr>
            </w:pPr>
          </w:p>
          <w:p w14:paraId="6F09BC48">
            <w:pPr>
              <w:rPr>
                <w:rFonts w:hint="eastAsia"/>
                <w:b/>
                <w:bCs/>
                <w:sz w:val="36"/>
                <w:szCs w:val="36"/>
                <w:vertAlign w:val="baseline"/>
                <w:lang w:val="en-US" w:eastAsia="zh-CN"/>
              </w:rPr>
            </w:pPr>
          </w:p>
          <w:p w14:paraId="6CFF5C57">
            <w:pPr>
              <w:rPr>
                <w:rFonts w:hint="eastAsia"/>
                <w:b/>
                <w:bCs/>
                <w:sz w:val="36"/>
                <w:szCs w:val="36"/>
                <w:vertAlign w:val="baseline"/>
                <w:lang w:val="en-US" w:eastAsia="zh-CN"/>
              </w:rPr>
            </w:pPr>
          </w:p>
          <w:p w14:paraId="75E66835">
            <w:pPr>
              <w:rPr>
                <w:rFonts w:hint="eastAsia"/>
                <w:b/>
                <w:bCs/>
                <w:sz w:val="36"/>
                <w:szCs w:val="36"/>
                <w:vertAlign w:val="baseline"/>
                <w:lang w:val="en-US" w:eastAsia="zh-CN"/>
              </w:rPr>
            </w:pPr>
          </w:p>
          <w:p w14:paraId="0019CE18">
            <w:pPr>
              <w:rPr>
                <w:rFonts w:hint="eastAsia"/>
                <w:b/>
                <w:bCs/>
                <w:sz w:val="36"/>
                <w:szCs w:val="36"/>
                <w:vertAlign w:val="baseline"/>
                <w:lang w:val="en-US" w:eastAsia="zh-CN"/>
              </w:rPr>
            </w:pPr>
          </w:p>
          <w:p w14:paraId="3221F30A">
            <w:pPr>
              <w:rPr>
                <w:rFonts w:hint="eastAsia"/>
                <w:b/>
                <w:bCs/>
                <w:sz w:val="36"/>
                <w:szCs w:val="36"/>
                <w:vertAlign w:val="baseline"/>
                <w:lang w:val="en-US" w:eastAsia="zh-CN"/>
              </w:rPr>
            </w:pPr>
          </w:p>
          <w:p w14:paraId="3BDF7B47">
            <w:pPr>
              <w:rPr>
                <w:rFonts w:hint="eastAsia"/>
                <w:b/>
                <w:bCs/>
                <w:sz w:val="36"/>
                <w:szCs w:val="36"/>
                <w:vertAlign w:val="baseline"/>
                <w:lang w:val="en-US" w:eastAsia="zh-CN"/>
              </w:rPr>
            </w:pPr>
          </w:p>
          <w:p w14:paraId="3C427EF5">
            <w:pPr>
              <w:rPr>
                <w:rFonts w:hint="eastAsia"/>
                <w:b/>
                <w:bCs/>
                <w:sz w:val="36"/>
                <w:szCs w:val="36"/>
                <w:vertAlign w:val="baseline"/>
                <w:lang w:val="en-US" w:eastAsia="zh-CN"/>
              </w:rPr>
            </w:pPr>
          </w:p>
          <w:p w14:paraId="681406CF">
            <w:pPr>
              <w:rPr>
                <w:rFonts w:hint="eastAsia"/>
                <w:b/>
                <w:bCs/>
                <w:sz w:val="36"/>
                <w:szCs w:val="36"/>
                <w:vertAlign w:val="baseline"/>
                <w:lang w:val="en-US" w:eastAsia="zh-CN"/>
              </w:rPr>
            </w:pPr>
          </w:p>
          <w:p w14:paraId="616A752C">
            <w:pPr>
              <w:rPr>
                <w:rFonts w:hint="eastAsia"/>
                <w:b/>
                <w:bCs/>
                <w:sz w:val="36"/>
                <w:szCs w:val="36"/>
                <w:vertAlign w:val="baseline"/>
                <w:lang w:val="en-US" w:eastAsia="zh-CN"/>
              </w:rPr>
            </w:pPr>
          </w:p>
          <w:p w14:paraId="0153A75D">
            <w:pPr>
              <w:rPr>
                <w:rFonts w:hint="eastAsia"/>
                <w:b/>
                <w:bCs/>
                <w:sz w:val="36"/>
                <w:szCs w:val="36"/>
                <w:vertAlign w:val="baseline"/>
                <w:lang w:val="en-US" w:eastAsia="zh-CN"/>
              </w:rPr>
            </w:pPr>
          </w:p>
          <w:p w14:paraId="305C6B9F">
            <w:pPr>
              <w:rPr>
                <w:rFonts w:hint="eastAsia"/>
                <w:b/>
                <w:bCs/>
                <w:sz w:val="36"/>
                <w:szCs w:val="36"/>
                <w:vertAlign w:val="baseline"/>
                <w:lang w:val="en-US" w:eastAsia="zh-CN"/>
              </w:rPr>
            </w:pPr>
          </w:p>
          <w:p w14:paraId="67BCB7C3">
            <w:pPr>
              <w:rPr>
                <w:rFonts w:hint="default" w:eastAsiaTheme="minorEastAsia"/>
                <w:b/>
                <w:bCs/>
                <w:sz w:val="36"/>
                <w:szCs w:val="36"/>
                <w:vertAlign w:val="baseline"/>
                <w:lang w:val="en-US" w:eastAsia="zh-CN"/>
              </w:rPr>
            </w:pPr>
            <w:r>
              <w:rPr>
                <w:rFonts w:hint="eastAsia"/>
                <w:b/>
                <w:bCs/>
                <w:sz w:val="36"/>
                <w:szCs w:val="36"/>
                <w:vertAlign w:val="baseline"/>
                <w:lang w:val="en-US" w:eastAsia="zh-CN"/>
              </w:rPr>
              <w:t>14</w:t>
            </w:r>
          </w:p>
        </w:tc>
        <w:tc>
          <w:tcPr>
            <w:tcW w:w="600" w:type="dxa"/>
          </w:tcPr>
          <w:p w14:paraId="637220FB">
            <w:pPr>
              <w:rPr>
                <w:rFonts w:hint="eastAsia"/>
                <w:sz w:val="24"/>
                <w:szCs w:val="24"/>
                <w:vertAlign w:val="baseline"/>
              </w:rPr>
            </w:pPr>
          </w:p>
        </w:tc>
      </w:tr>
      <w:tr w14:paraId="3B44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4" w:type="dxa"/>
          </w:tcPr>
          <w:p w14:paraId="577E2AAD">
            <w:pPr>
              <w:rPr>
                <w:rFonts w:hint="eastAsia"/>
                <w:sz w:val="24"/>
                <w:szCs w:val="24"/>
                <w:vertAlign w:val="baseline"/>
                <w:lang w:val="en-US" w:eastAsia="zh-CN"/>
              </w:rPr>
            </w:pPr>
          </w:p>
          <w:p w14:paraId="601040D2">
            <w:pPr>
              <w:rPr>
                <w:rFonts w:hint="eastAsia"/>
                <w:sz w:val="24"/>
                <w:szCs w:val="24"/>
                <w:vertAlign w:val="baseline"/>
                <w:lang w:val="en-US" w:eastAsia="zh-CN"/>
              </w:rPr>
            </w:pPr>
          </w:p>
          <w:p w14:paraId="55285942">
            <w:pPr>
              <w:rPr>
                <w:rFonts w:hint="eastAsia"/>
                <w:sz w:val="24"/>
                <w:szCs w:val="24"/>
                <w:vertAlign w:val="baseline"/>
                <w:lang w:val="en-US" w:eastAsia="zh-CN"/>
              </w:rPr>
            </w:pPr>
          </w:p>
          <w:p w14:paraId="2812C74C">
            <w:pPr>
              <w:rPr>
                <w:rFonts w:hint="eastAsia"/>
                <w:sz w:val="24"/>
                <w:szCs w:val="24"/>
                <w:vertAlign w:val="baseline"/>
                <w:lang w:val="en-US" w:eastAsia="zh-CN"/>
              </w:rPr>
            </w:pPr>
          </w:p>
          <w:p w14:paraId="23ECC173">
            <w:pPr>
              <w:rPr>
                <w:rFonts w:hint="eastAsia"/>
                <w:sz w:val="24"/>
                <w:szCs w:val="24"/>
                <w:vertAlign w:val="baseline"/>
                <w:lang w:val="en-US" w:eastAsia="zh-CN"/>
              </w:rPr>
            </w:pPr>
          </w:p>
          <w:p w14:paraId="027B5017">
            <w:pPr>
              <w:rPr>
                <w:rFonts w:hint="eastAsia" w:eastAsiaTheme="minorEastAsia"/>
                <w:sz w:val="24"/>
                <w:szCs w:val="24"/>
                <w:vertAlign w:val="baseline"/>
                <w:lang w:val="en-US" w:eastAsia="zh-CN"/>
              </w:rPr>
            </w:pPr>
            <w:r>
              <w:rPr>
                <w:rFonts w:hint="eastAsia"/>
                <w:sz w:val="24"/>
                <w:szCs w:val="24"/>
                <w:vertAlign w:val="baseline"/>
                <w:lang w:val="en-US" w:eastAsia="zh-CN"/>
              </w:rPr>
              <w:t>2</w:t>
            </w:r>
          </w:p>
        </w:tc>
        <w:tc>
          <w:tcPr>
            <w:tcW w:w="735" w:type="dxa"/>
          </w:tcPr>
          <w:p w14:paraId="2D16CD4E">
            <w:pPr>
              <w:rPr>
                <w:rFonts w:hint="eastAsia"/>
                <w:sz w:val="24"/>
                <w:szCs w:val="24"/>
                <w:vertAlign w:val="baseline"/>
              </w:rPr>
            </w:pPr>
            <w:r>
              <w:rPr>
                <w:rFonts w:hint="eastAsia"/>
                <w:sz w:val="24"/>
                <w:szCs w:val="24"/>
                <w:vertAlign w:val="baseline"/>
              </w:rPr>
              <w:t>团体生物反馈</w:t>
            </w:r>
          </w:p>
        </w:tc>
        <w:tc>
          <w:tcPr>
            <w:tcW w:w="11415" w:type="dxa"/>
          </w:tcPr>
          <w:p w14:paraId="40832D88">
            <w:pPr>
              <w:rPr>
                <w:rFonts w:hint="eastAsia"/>
                <w:sz w:val="24"/>
                <w:szCs w:val="24"/>
                <w:vertAlign w:val="baseline"/>
              </w:rPr>
            </w:pPr>
            <w:r>
              <w:rPr>
                <w:rFonts w:hint="eastAsia"/>
                <w:sz w:val="24"/>
                <w:szCs w:val="24"/>
                <w:vertAlign w:val="baseline"/>
              </w:rPr>
              <w:t>1、适用范围：精神心理疾病的生物反馈治疗。</w:t>
            </w:r>
          </w:p>
          <w:p w14:paraId="50C9E796">
            <w:pPr>
              <w:rPr>
                <w:rFonts w:hint="eastAsia"/>
                <w:sz w:val="24"/>
                <w:szCs w:val="24"/>
                <w:vertAlign w:val="baseline"/>
              </w:rPr>
            </w:pPr>
            <w:r>
              <w:rPr>
                <w:rFonts w:hint="eastAsia"/>
                <w:sz w:val="24"/>
                <w:szCs w:val="24"/>
                <w:vertAlign w:val="baseline"/>
              </w:rPr>
              <w:t>2、无临床禁忌症，适用广泛患者群体，降低临床使用限制（要求提供说明书或第三方材料证明）。</w:t>
            </w:r>
          </w:p>
          <w:p w14:paraId="3FCBE287">
            <w:pPr>
              <w:rPr>
                <w:rFonts w:hint="eastAsia"/>
                <w:sz w:val="24"/>
                <w:szCs w:val="24"/>
                <w:vertAlign w:val="baseline"/>
              </w:rPr>
            </w:pPr>
            <w:r>
              <w:rPr>
                <w:rFonts w:hint="eastAsia"/>
                <w:sz w:val="24"/>
                <w:szCs w:val="24"/>
                <w:vertAlign w:val="baseline"/>
              </w:rPr>
              <w:t>3、设备需通过食品药品监督管理局检验，无食品药品监督管理部门不良事件处理记录。</w:t>
            </w:r>
          </w:p>
          <w:p w14:paraId="0ABB8B18">
            <w:pPr>
              <w:rPr>
                <w:rFonts w:hint="eastAsia"/>
                <w:sz w:val="24"/>
                <w:szCs w:val="24"/>
                <w:vertAlign w:val="baseline"/>
              </w:rPr>
            </w:pPr>
            <w:r>
              <w:rPr>
                <w:rFonts w:hint="eastAsia"/>
                <w:sz w:val="24"/>
                <w:szCs w:val="24"/>
                <w:vertAlign w:val="baseline"/>
              </w:rPr>
              <w:t>4、★同时对≥4人进行数据采集、分析、处理与交换。可同时同步采集包括但不限于EEG、HRV及肌电EMG信号，实时反应心理与身体的压力与放松情况，亦可进行生物反馈训练。</w:t>
            </w:r>
          </w:p>
          <w:p w14:paraId="7F06EED4">
            <w:pPr>
              <w:rPr>
                <w:rFonts w:hint="eastAsia"/>
                <w:sz w:val="24"/>
                <w:szCs w:val="24"/>
                <w:vertAlign w:val="baseline"/>
              </w:rPr>
            </w:pPr>
            <w:r>
              <w:rPr>
                <w:rFonts w:hint="eastAsia"/>
                <w:sz w:val="24"/>
                <w:szCs w:val="24"/>
                <w:vertAlign w:val="baseline"/>
              </w:rPr>
              <w:t>5、与患者接触的材料原发性刺激反应极轻微，无致敏性，无细胞毒性作用。该材料必须进行生物相容性的试验或评价。</w:t>
            </w:r>
          </w:p>
          <w:p w14:paraId="67F2A362">
            <w:pPr>
              <w:rPr>
                <w:rFonts w:hint="eastAsia"/>
                <w:sz w:val="24"/>
                <w:szCs w:val="24"/>
                <w:vertAlign w:val="baseline"/>
              </w:rPr>
            </w:pPr>
            <w:r>
              <w:rPr>
                <w:rFonts w:hint="eastAsia"/>
                <w:sz w:val="24"/>
                <w:szCs w:val="24"/>
                <w:vertAlign w:val="baseline"/>
              </w:rPr>
              <w:t>6、实时监测患者包括但不限于脑电、肌电、心率等信号，并可将这些生理信号转化为视觉、听觉等信号反馈给患者，综合直观反映患者身心脑状态（提供相关证明材料）。</w:t>
            </w:r>
          </w:p>
          <w:p w14:paraId="0D07AE0D">
            <w:pPr>
              <w:rPr>
                <w:rFonts w:hint="eastAsia"/>
                <w:sz w:val="24"/>
                <w:szCs w:val="24"/>
                <w:vertAlign w:val="baseline"/>
              </w:rPr>
            </w:pPr>
            <w:r>
              <w:rPr>
                <w:rFonts w:hint="eastAsia"/>
                <w:sz w:val="24"/>
                <w:szCs w:val="24"/>
                <w:vertAlign w:val="baseline"/>
              </w:rPr>
              <w:t>7、可提供呼吸放松治疗、松弛治疗、暗示治疗、音乐治疗等对患者进行心理干预与治疗，辅助患者改善身心状态。</w:t>
            </w:r>
          </w:p>
          <w:p w14:paraId="762F43A0">
            <w:pPr>
              <w:rPr>
                <w:rFonts w:hint="eastAsia"/>
                <w:sz w:val="24"/>
                <w:szCs w:val="24"/>
                <w:vertAlign w:val="baseline"/>
              </w:rPr>
            </w:pPr>
            <w:r>
              <w:rPr>
                <w:rFonts w:hint="eastAsia"/>
                <w:sz w:val="24"/>
                <w:szCs w:val="24"/>
                <w:vertAlign w:val="baseline"/>
              </w:rPr>
              <w:t>8、支持团体训练：可提供团队合作、团队竞争、个人放松、个人专注训练。</w:t>
            </w:r>
          </w:p>
          <w:p w14:paraId="650563C6">
            <w:pPr>
              <w:rPr>
                <w:rFonts w:hint="eastAsia"/>
                <w:sz w:val="24"/>
                <w:szCs w:val="24"/>
                <w:vertAlign w:val="baseline"/>
              </w:rPr>
            </w:pPr>
            <w:r>
              <w:rPr>
                <w:rFonts w:hint="eastAsia"/>
                <w:sz w:val="24"/>
                <w:szCs w:val="24"/>
                <w:vertAlign w:val="baseline"/>
              </w:rPr>
              <w:t>9、具备视听整合连续测试功能：可用于ADHD的亚型区分及评估，并可结合生物反馈训练，实现诊疗一体化。</w:t>
            </w:r>
          </w:p>
          <w:p w14:paraId="306782EA">
            <w:pPr>
              <w:rPr>
                <w:rFonts w:hint="eastAsia"/>
                <w:sz w:val="24"/>
                <w:szCs w:val="24"/>
                <w:vertAlign w:val="baseline"/>
              </w:rPr>
            </w:pPr>
            <w:r>
              <w:rPr>
                <w:rFonts w:hint="eastAsia"/>
                <w:sz w:val="24"/>
                <w:szCs w:val="24"/>
                <w:vertAlign w:val="baseline"/>
              </w:rPr>
              <w:t>10、数据传输要求：无线传输，信号采集器和信号接收器相距10米时，无线传输丢包率＜5% 。</w:t>
            </w:r>
          </w:p>
          <w:p w14:paraId="18AE6EEB">
            <w:pPr>
              <w:rPr>
                <w:rFonts w:hint="eastAsia"/>
                <w:sz w:val="24"/>
                <w:szCs w:val="24"/>
                <w:vertAlign w:val="baseline"/>
              </w:rPr>
            </w:pPr>
            <w:r>
              <w:rPr>
                <w:rFonts w:hint="eastAsia"/>
                <w:sz w:val="24"/>
                <w:szCs w:val="24"/>
                <w:vertAlign w:val="baseline"/>
              </w:rPr>
              <w:t>11、AD采样位数≥24bit。</w:t>
            </w:r>
          </w:p>
          <w:p w14:paraId="548B6479">
            <w:pPr>
              <w:rPr>
                <w:rFonts w:hint="eastAsia"/>
                <w:sz w:val="24"/>
                <w:szCs w:val="24"/>
                <w:vertAlign w:val="baseline"/>
              </w:rPr>
            </w:pPr>
            <w:r>
              <w:rPr>
                <w:rFonts w:hint="eastAsia"/>
                <w:sz w:val="24"/>
                <w:szCs w:val="24"/>
                <w:vertAlign w:val="baseline"/>
              </w:rPr>
              <w:t>12、脑电采样率≥2000Hz。</w:t>
            </w:r>
          </w:p>
          <w:p w14:paraId="664BAD7F">
            <w:pPr>
              <w:rPr>
                <w:rFonts w:hint="eastAsia"/>
                <w:sz w:val="24"/>
                <w:szCs w:val="24"/>
                <w:vertAlign w:val="baseline"/>
              </w:rPr>
            </w:pPr>
            <w:r>
              <w:rPr>
                <w:rFonts w:hint="eastAsia"/>
                <w:sz w:val="24"/>
                <w:szCs w:val="24"/>
                <w:vertAlign w:val="baseline"/>
              </w:rPr>
              <w:t>13、脑电采集共模抑制比：各通道≥90dB（提供相关证明材料）。</w:t>
            </w:r>
          </w:p>
          <w:p w14:paraId="12BDA658">
            <w:pPr>
              <w:rPr>
                <w:rFonts w:hint="eastAsia"/>
                <w:sz w:val="24"/>
                <w:szCs w:val="24"/>
                <w:vertAlign w:val="baseline"/>
              </w:rPr>
            </w:pPr>
            <w:r>
              <w:rPr>
                <w:rFonts w:hint="eastAsia"/>
                <w:sz w:val="24"/>
                <w:szCs w:val="24"/>
                <w:vertAlign w:val="baseline"/>
              </w:rPr>
              <w:t>14、脑电采集噪声电平：≤2.5μV（提供相关证明材料）。</w:t>
            </w:r>
          </w:p>
          <w:p w14:paraId="7F5A5E85">
            <w:pPr>
              <w:rPr>
                <w:rFonts w:hint="eastAsia"/>
                <w:sz w:val="24"/>
                <w:szCs w:val="24"/>
                <w:vertAlign w:val="baseline"/>
              </w:rPr>
            </w:pPr>
            <w:r>
              <w:rPr>
                <w:rFonts w:hint="eastAsia"/>
                <w:sz w:val="24"/>
                <w:szCs w:val="24"/>
                <w:vertAlign w:val="baseline"/>
              </w:rPr>
              <w:t>15、肌电（测量范围：1～5000μv），分辨率：≤2μv，系统噪声：≤1μv。</w:t>
            </w:r>
          </w:p>
          <w:p w14:paraId="3D8BE12F">
            <w:pPr>
              <w:rPr>
                <w:rFonts w:hint="eastAsia"/>
                <w:sz w:val="24"/>
                <w:szCs w:val="24"/>
                <w:vertAlign w:val="baseline"/>
              </w:rPr>
            </w:pPr>
            <w:r>
              <w:rPr>
                <w:rFonts w:hint="eastAsia"/>
                <w:sz w:val="24"/>
                <w:szCs w:val="24"/>
                <w:vertAlign w:val="baseline"/>
              </w:rPr>
              <w:t>16、脉搏速率：测量范围应不窄于50bpm～200bpm（提供相关证明材料）。</w:t>
            </w:r>
          </w:p>
          <w:p w14:paraId="05BD8752">
            <w:pPr>
              <w:rPr>
                <w:rFonts w:hint="eastAsia"/>
                <w:sz w:val="24"/>
                <w:szCs w:val="24"/>
                <w:vertAlign w:val="baseline"/>
              </w:rPr>
            </w:pPr>
            <w:r>
              <w:rPr>
                <w:rFonts w:hint="eastAsia"/>
                <w:sz w:val="24"/>
                <w:szCs w:val="24"/>
                <w:vertAlign w:val="baseline"/>
              </w:rPr>
              <w:t>17、患者信息录入方式包括不限于手动输入、人脸识别等，以提高工作效率。</w:t>
            </w:r>
          </w:p>
          <w:p w14:paraId="72728397">
            <w:pPr>
              <w:rPr>
                <w:rFonts w:hint="eastAsia"/>
                <w:sz w:val="24"/>
                <w:szCs w:val="24"/>
                <w:vertAlign w:val="baseline"/>
              </w:rPr>
            </w:pPr>
            <w:r>
              <w:rPr>
                <w:rFonts w:hint="eastAsia"/>
                <w:sz w:val="24"/>
                <w:szCs w:val="24"/>
                <w:vertAlign w:val="baseline"/>
              </w:rPr>
              <w:t xml:space="preserve">★配置要求： </w:t>
            </w:r>
          </w:p>
          <w:p w14:paraId="257674E3">
            <w:pPr>
              <w:rPr>
                <w:rFonts w:hint="eastAsia"/>
                <w:sz w:val="24"/>
                <w:szCs w:val="24"/>
                <w:vertAlign w:val="baseline"/>
              </w:rPr>
            </w:pPr>
            <w:r>
              <w:rPr>
                <w:rFonts w:hint="eastAsia"/>
                <w:sz w:val="24"/>
                <w:szCs w:val="24"/>
                <w:vertAlign w:val="baseline"/>
              </w:rPr>
              <w:t>1、信号采集器（放大器）：≥4个；</w:t>
            </w:r>
          </w:p>
          <w:p w14:paraId="4F19930C">
            <w:pPr>
              <w:rPr>
                <w:rFonts w:hint="eastAsia"/>
                <w:sz w:val="24"/>
                <w:szCs w:val="24"/>
                <w:vertAlign w:val="baseline"/>
              </w:rPr>
            </w:pPr>
            <w:r>
              <w:rPr>
                <w:rFonts w:hint="eastAsia"/>
                <w:sz w:val="24"/>
                <w:szCs w:val="24"/>
                <w:vertAlign w:val="baseline"/>
              </w:rPr>
              <w:t>2、专业台车：1套，要求具备储运、充电、存放信号采集器、灵活移动等功能；</w:t>
            </w:r>
          </w:p>
          <w:p w14:paraId="7DFA2FD4">
            <w:pPr>
              <w:rPr>
                <w:rFonts w:hint="eastAsia"/>
                <w:sz w:val="24"/>
                <w:szCs w:val="24"/>
                <w:vertAlign w:val="baseline"/>
              </w:rPr>
            </w:pPr>
            <w:r>
              <w:rPr>
                <w:rFonts w:hint="eastAsia"/>
                <w:sz w:val="24"/>
                <w:szCs w:val="24"/>
                <w:vertAlign w:val="baseline"/>
              </w:rPr>
              <w:t>3、显示系统：≥100寸；</w:t>
            </w:r>
          </w:p>
          <w:p w14:paraId="64156CD7">
            <w:pPr>
              <w:rPr>
                <w:rFonts w:hint="eastAsia"/>
                <w:sz w:val="24"/>
                <w:szCs w:val="24"/>
                <w:vertAlign w:val="baseline"/>
              </w:rPr>
            </w:pPr>
            <w:r>
              <w:rPr>
                <w:rFonts w:hint="eastAsia"/>
                <w:sz w:val="24"/>
                <w:szCs w:val="24"/>
                <w:vertAlign w:val="baseline"/>
              </w:rPr>
              <w:t>4、治疗椅：≥4把。</w:t>
            </w:r>
          </w:p>
        </w:tc>
        <w:tc>
          <w:tcPr>
            <w:tcW w:w="885" w:type="dxa"/>
          </w:tcPr>
          <w:p w14:paraId="543A73C6">
            <w:pPr>
              <w:rPr>
                <w:rFonts w:hint="eastAsia"/>
                <w:b/>
                <w:bCs/>
                <w:sz w:val="36"/>
                <w:szCs w:val="36"/>
                <w:vertAlign w:val="baseline"/>
                <w:lang w:val="en-US" w:eastAsia="zh-CN"/>
              </w:rPr>
            </w:pPr>
          </w:p>
          <w:p w14:paraId="20947D0E">
            <w:pPr>
              <w:rPr>
                <w:rFonts w:hint="eastAsia"/>
                <w:b/>
                <w:bCs/>
                <w:sz w:val="36"/>
                <w:szCs w:val="36"/>
                <w:vertAlign w:val="baseline"/>
                <w:lang w:val="en-US" w:eastAsia="zh-CN"/>
              </w:rPr>
            </w:pPr>
          </w:p>
          <w:p w14:paraId="23D506CA">
            <w:pPr>
              <w:rPr>
                <w:rFonts w:hint="eastAsia"/>
                <w:b/>
                <w:bCs/>
                <w:sz w:val="36"/>
                <w:szCs w:val="36"/>
                <w:vertAlign w:val="baseline"/>
                <w:lang w:val="en-US" w:eastAsia="zh-CN"/>
              </w:rPr>
            </w:pPr>
          </w:p>
          <w:p w14:paraId="11D9AD40">
            <w:pPr>
              <w:rPr>
                <w:rFonts w:hint="eastAsia"/>
                <w:b/>
                <w:bCs/>
                <w:sz w:val="36"/>
                <w:szCs w:val="36"/>
                <w:vertAlign w:val="baseline"/>
                <w:lang w:val="en-US" w:eastAsia="zh-CN"/>
              </w:rPr>
            </w:pPr>
          </w:p>
          <w:p w14:paraId="5C82C1EA">
            <w:pPr>
              <w:rPr>
                <w:rFonts w:hint="eastAsia"/>
                <w:b/>
                <w:bCs/>
                <w:sz w:val="36"/>
                <w:szCs w:val="36"/>
                <w:vertAlign w:val="baseline"/>
                <w:lang w:val="en-US" w:eastAsia="zh-CN"/>
              </w:rPr>
            </w:pPr>
          </w:p>
          <w:p w14:paraId="3CDBBEE8">
            <w:pPr>
              <w:rPr>
                <w:rFonts w:hint="eastAsia" w:eastAsiaTheme="minorEastAsia"/>
                <w:b/>
                <w:bCs/>
                <w:sz w:val="36"/>
                <w:szCs w:val="36"/>
                <w:vertAlign w:val="baseline"/>
                <w:lang w:val="en-US" w:eastAsia="zh-CN"/>
              </w:rPr>
            </w:pPr>
            <w:r>
              <w:rPr>
                <w:rFonts w:hint="eastAsia"/>
                <w:b/>
                <w:bCs/>
                <w:sz w:val="36"/>
                <w:szCs w:val="36"/>
                <w:vertAlign w:val="baseline"/>
                <w:lang w:val="en-US" w:eastAsia="zh-CN"/>
              </w:rPr>
              <w:t>1</w:t>
            </w:r>
          </w:p>
        </w:tc>
        <w:tc>
          <w:tcPr>
            <w:tcW w:w="900" w:type="dxa"/>
          </w:tcPr>
          <w:p w14:paraId="1F18ABC3">
            <w:pPr>
              <w:rPr>
                <w:rFonts w:hint="eastAsia"/>
                <w:b/>
                <w:bCs/>
                <w:sz w:val="36"/>
                <w:szCs w:val="36"/>
                <w:vertAlign w:val="baseline"/>
                <w:lang w:val="en-US" w:eastAsia="zh-CN"/>
              </w:rPr>
            </w:pPr>
          </w:p>
          <w:p w14:paraId="44E9BFE5">
            <w:pPr>
              <w:rPr>
                <w:rFonts w:hint="eastAsia"/>
                <w:b/>
                <w:bCs/>
                <w:sz w:val="36"/>
                <w:szCs w:val="36"/>
                <w:vertAlign w:val="baseline"/>
                <w:lang w:val="en-US" w:eastAsia="zh-CN"/>
              </w:rPr>
            </w:pPr>
          </w:p>
          <w:p w14:paraId="5712765C">
            <w:pPr>
              <w:rPr>
                <w:rFonts w:hint="eastAsia"/>
                <w:b/>
                <w:bCs/>
                <w:sz w:val="36"/>
                <w:szCs w:val="36"/>
                <w:vertAlign w:val="baseline"/>
                <w:lang w:val="en-US" w:eastAsia="zh-CN"/>
              </w:rPr>
            </w:pPr>
          </w:p>
          <w:p w14:paraId="08BD5EFD">
            <w:pPr>
              <w:rPr>
                <w:rFonts w:hint="eastAsia"/>
                <w:b/>
                <w:bCs/>
                <w:sz w:val="36"/>
                <w:szCs w:val="36"/>
                <w:vertAlign w:val="baseline"/>
                <w:lang w:val="en-US" w:eastAsia="zh-CN"/>
              </w:rPr>
            </w:pPr>
          </w:p>
          <w:p w14:paraId="2DC656E3">
            <w:pPr>
              <w:rPr>
                <w:rFonts w:hint="eastAsia"/>
                <w:b/>
                <w:bCs/>
                <w:sz w:val="36"/>
                <w:szCs w:val="36"/>
                <w:vertAlign w:val="baseline"/>
                <w:lang w:val="en-US" w:eastAsia="zh-CN"/>
              </w:rPr>
            </w:pPr>
          </w:p>
          <w:p w14:paraId="61F6B2FE">
            <w:pPr>
              <w:rPr>
                <w:rFonts w:hint="default" w:eastAsiaTheme="minorEastAsia"/>
                <w:b/>
                <w:bCs/>
                <w:sz w:val="36"/>
                <w:szCs w:val="36"/>
                <w:vertAlign w:val="baseline"/>
                <w:lang w:val="en-US" w:eastAsia="zh-CN"/>
              </w:rPr>
            </w:pPr>
            <w:r>
              <w:rPr>
                <w:rFonts w:hint="eastAsia"/>
                <w:b/>
                <w:bCs/>
                <w:sz w:val="36"/>
                <w:szCs w:val="36"/>
                <w:vertAlign w:val="baseline"/>
                <w:lang w:val="en-US" w:eastAsia="zh-CN"/>
              </w:rPr>
              <w:t>28</w:t>
            </w:r>
          </w:p>
        </w:tc>
        <w:tc>
          <w:tcPr>
            <w:tcW w:w="600" w:type="dxa"/>
          </w:tcPr>
          <w:p w14:paraId="3ADB533C">
            <w:pPr>
              <w:rPr>
                <w:rFonts w:hint="eastAsia"/>
                <w:sz w:val="24"/>
                <w:szCs w:val="24"/>
                <w:vertAlign w:val="baseline"/>
              </w:rPr>
            </w:pPr>
          </w:p>
        </w:tc>
      </w:tr>
      <w:tr w14:paraId="3ABF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4" w:type="dxa"/>
          </w:tcPr>
          <w:p w14:paraId="186E4A72">
            <w:pPr>
              <w:rPr>
                <w:rFonts w:hint="eastAsia" w:eastAsiaTheme="minorEastAsia"/>
                <w:sz w:val="24"/>
                <w:szCs w:val="24"/>
                <w:vertAlign w:val="baseline"/>
                <w:lang w:val="en-US" w:eastAsia="zh-CN"/>
              </w:rPr>
            </w:pPr>
            <w:r>
              <w:rPr>
                <w:rFonts w:hint="eastAsia"/>
                <w:sz w:val="24"/>
                <w:szCs w:val="24"/>
                <w:vertAlign w:val="baseline"/>
                <w:lang w:val="en-US" w:eastAsia="zh-CN"/>
              </w:rPr>
              <w:t>3</w:t>
            </w:r>
          </w:p>
        </w:tc>
        <w:tc>
          <w:tcPr>
            <w:tcW w:w="735" w:type="dxa"/>
          </w:tcPr>
          <w:p w14:paraId="707FF015">
            <w:pPr>
              <w:rPr>
                <w:rFonts w:hint="eastAsia"/>
                <w:sz w:val="24"/>
                <w:szCs w:val="24"/>
                <w:vertAlign w:val="baseline"/>
              </w:rPr>
            </w:pPr>
            <w:r>
              <w:rPr>
                <w:rFonts w:hint="eastAsia"/>
                <w:sz w:val="24"/>
                <w:szCs w:val="24"/>
                <w:vertAlign w:val="baseline"/>
              </w:rPr>
              <w:t>沙盘治疗仪</w:t>
            </w:r>
          </w:p>
        </w:tc>
        <w:tc>
          <w:tcPr>
            <w:tcW w:w="11415" w:type="dxa"/>
          </w:tcPr>
          <w:p w14:paraId="1AFB1C46">
            <w:pPr>
              <w:rPr>
                <w:rFonts w:hint="eastAsia"/>
                <w:sz w:val="24"/>
                <w:szCs w:val="24"/>
                <w:vertAlign w:val="baseline"/>
              </w:rPr>
            </w:pPr>
            <w:r>
              <w:rPr>
                <w:rFonts w:hint="eastAsia"/>
                <w:sz w:val="24"/>
                <w:szCs w:val="24"/>
                <w:vertAlign w:val="baseline"/>
              </w:rPr>
              <w:t>1.沙具：包含人物、动物、植物、建筑、生活用品、交通工具、食物、石头、贝壳、自然物质等类别，≥2000个。材质优，陶瓷、树脂、木质、塑料、橡胶等。</w:t>
            </w:r>
          </w:p>
          <w:p w14:paraId="708534CB">
            <w:pPr>
              <w:rPr>
                <w:rFonts w:hint="eastAsia"/>
                <w:sz w:val="24"/>
                <w:szCs w:val="24"/>
                <w:vertAlign w:val="baseline"/>
              </w:rPr>
            </w:pPr>
            <w:r>
              <w:rPr>
                <w:rFonts w:hint="eastAsia"/>
                <w:sz w:val="24"/>
                <w:szCs w:val="24"/>
                <w:vertAlign w:val="baseline"/>
              </w:rPr>
              <w:t>2.沙盘：无结松木材质，外侧原木色，内侧环保漆；标准沙盘尺寸：长72cm，宽57cm，高7cm，误差小于1cm。团体沙盘尺寸：长120cm，宽80cm，高10cm，误差小于1cm。1个标准沙盘。</w:t>
            </w:r>
          </w:p>
          <w:p w14:paraId="20718AD7">
            <w:pPr>
              <w:rPr>
                <w:rFonts w:hint="eastAsia"/>
                <w:sz w:val="24"/>
                <w:szCs w:val="24"/>
                <w:vertAlign w:val="baseline"/>
              </w:rPr>
            </w:pPr>
            <w:r>
              <w:rPr>
                <w:rFonts w:hint="eastAsia"/>
                <w:sz w:val="24"/>
                <w:szCs w:val="24"/>
                <w:vertAlign w:val="baseline"/>
              </w:rPr>
              <w:t>3.沙盘支架：实木材质，高≥68cm。</w:t>
            </w:r>
          </w:p>
          <w:p w14:paraId="2A198884">
            <w:pPr>
              <w:rPr>
                <w:rFonts w:hint="eastAsia"/>
                <w:sz w:val="24"/>
                <w:szCs w:val="24"/>
                <w:vertAlign w:val="baseline"/>
              </w:rPr>
            </w:pPr>
            <w:r>
              <w:rPr>
                <w:rFonts w:hint="eastAsia"/>
                <w:sz w:val="24"/>
                <w:szCs w:val="24"/>
                <w:vertAlign w:val="baseline"/>
              </w:rPr>
              <w:t>4.陈列柜：松木材质，开放式九层设计，五大层四小层，环保清漆；尺寸：高160cm，宽80cm，深33cm，误差小于5cm。</w:t>
            </w:r>
          </w:p>
          <w:p w14:paraId="2C38691C">
            <w:pPr>
              <w:rPr>
                <w:rFonts w:hint="eastAsia"/>
                <w:sz w:val="24"/>
                <w:szCs w:val="24"/>
                <w:vertAlign w:val="baseline"/>
              </w:rPr>
            </w:pPr>
            <w:r>
              <w:rPr>
                <w:rFonts w:hint="eastAsia"/>
                <w:sz w:val="24"/>
                <w:szCs w:val="24"/>
                <w:vertAlign w:val="baseline"/>
              </w:rPr>
              <w:t>5.专用沙：40-60目，颗粒细腻，大小均匀，≥30公斤。</w:t>
            </w:r>
          </w:p>
          <w:p w14:paraId="111D9102">
            <w:pPr>
              <w:rPr>
                <w:rFonts w:hint="eastAsia"/>
                <w:sz w:val="24"/>
                <w:szCs w:val="24"/>
                <w:vertAlign w:val="baseline"/>
              </w:rPr>
            </w:pPr>
            <w:r>
              <w:rPr>
                <w:rFonts w:hint="eastAsia"/>
                <w:sz w:val="24"/>
                <w:szCs w:val="24"/>
                <w:vertAlign w:val="baseline"/>
              </w:rPr>
              <w:t>6.沙具框：优质塑料，尺寸：长35cm，宽27cm，深10cm，误差小于5cm。</w:t>
            </w:r>
          </w:p>
          <w:p w14:paraId="58EB3026">
            <w:pPr>
              <w:rPr>
                <w:rFonts w:hint="eastAsia"/>
                <w:sz w:val="24"/>
                <w:szCs w:val="24"/>
                <w:vertAlign w:val="baseline"/>
              </w:rPr>
            </w:pPr>
            <w:r>
              <w:rPr>
                <w:rFonts w:hint="eastAsia"/>
                <w:sz w:val="24"/>
                <w:szCs w:val="24"/>
                <w:vertAlign w:val="baseline"/>
              </w:rPr>
              <w:t>7.具有沙盘治疗管理软件著作权登记证书</w:t>
            </w:r>
          </w:p>
          <w:p w14:paraId="6A1CC94F">
            <w:pPr>
              <w:rPr>
                <w:rFonts w:hint="eastAsia"/>
                <w:sz w:val="24"/>
                <w:szCs w:val="24"/>
                <w:vertAlign w:val="baseline"/>
              </w:rPr>
            </w:pPr>
            <w:r>
              <w:rPr>
                <w:rFonts w:hint="eastAsia"/>
                <w:sz w:val="24"/>
                <w:szCs w:val="24"/>
                <w:vertAlign w:val="baseline"/>
              </w:rPr>
              <w:t>8.具有沙具动植物、建筑、人物等类沙具甲醛含量检测报告</w:t>
            </w:r>
          </w:p>
          <w:p w14:paraId="3C43F054">
            <w:pPr>
              <w:rPr>
                <w:rFonts w:hint="eastAsia"/>
                <w:sz w:val="24"/>
                <w:szCs w:val="24"/>
                <w:vertAlign w:val="baseline"/>
              </w:rPr>
            </w:pPr>
            <w:r>
              <w:rPr>
                <w:rFonts w:hint="eastAsia"/>
                <w:sz w:val="24"/>
                <w:szCs w:val="24"/>
                <w:vertAlign w:val="baseline"/>
              </w:rPr>
              <w:t>9.具有沙盘陈列架甲醛含量检测报告</w:t>
            </w:r>
          </w:p>
          <w:p w14:paraId="49507F9A">
            <w:pPr>
              <w:rPr>
                <w:rFonts w:hint="eastAsia"/>
                <w:sz w:val="24"/>
                <w:szCs w:val="24"/>
                <w:vertAlign w:val="baseline"/>
              </w:rPr>
            </w:pPr>
            <w:r>
              <w:rPr>
                <w:rFonts w:hint="eastAsia"/>
                <w:sz w:val="24"/>
                <w:szCs w:val="24"/>
                <w:vertAlign w:val="baseline"/>
              </w:rPr>
              <w:t>10沙盘治疗管理软件系统V5.0一套</w:t>
            </w:r>
          </w:p>
        </w:tc>
        <w:tc>
          <w:tcPr>
            <w:tcW w:w="885" w:type="dxa"/>
          </w:tcPr>
          <w:p w14:paraId="65DA76BE">
            <w:pPr>
              <w:rPr>
                <w:rFonts w:hint="eastAsia" w:eastAsiaTheme="minorEastAsia"/>
                <w:b/>
                <w:bCs/>
                <w:sz w:val="36"/>
                <w:szCs w:val="36"/>
                <w:vertAlign w:val="baseline"/>
                <w:lang w:val="en-US" w:eastAsia="zh-CN"/>
              </w:rPr>
            </w:pPr>
            <w:r>
              <w:rPr>
                <w:rFonts w:hint="eastAsia"/>
                <w:b/>
                <w:bCs/>
                <w:sz w:val="36"/>
                <w:szCs w:val="36"/>
                <w:vertAlign w:val="baseline"/>
                <w:lang w:val="en-US" w:eastAsia="zh-CN"/>
              </w:rPr>
              <w:t>1</w:t>
            </w:r>
          </w:p>
        </w:tc>
        <w:tc>
          <w:tcPr>
            <w:tcW w:w="900" w:type="dxa"/>
          </w:tcPr>
          <w:p w14:paraId="30BE393E">
            <w:pPr>
              <w:rPr>
                <w:rFonts w:hint="eastAsia" w:eastAsiaTheme="minorEastAsia"/>
                <w:b/>
                <w:bCs/>
                <w:sz w:val="36"/>
                <w:szCs w:val="36"/>
                <w:vertAlign w:val="baseline"/>
                <w:lang w:val="en-US" w:eastAsia="zh-CN"/>
              </w:rPr>
            </w:pPr>
            <w:r>
              <w:rPr>
                <w:rFonts w:hint="eastAsia"/>
                <w:b/>
                <w:bCs/>
                <w:sz w:val="36"/>
                <w:szCs w:val="36"/>
                <w:vertAlign w:val="baseline"/>
                <w:lang w:val="en-US" w:eastAsia="zh-CN"/>
              </w:rPr>
              <w:t>3</w:t>
            </w:r>
          </w:p>
        </w:tc>
        <w:tc>
          <w:tcPr>
            <w:tcW w:w="600" w:type="dxa"/>
          </w:tcPr>
          <w:p w14:paraId="0F8FF8E5">
            <w:pPr>
              <w:rPr>
                <w:rFonts w:hint="eastAsia"/>
                <w:sz w:val="24"/>
                <w:szCs w:val="24"/>
                <w:vertAlign w:val="baseline"/>
              </w:rPr>
            </w:pPr>
          </w:p>
        </w:tc>
      </w:tr>
      <w:tr w14:paraId="0BB7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4" w:type="dxa"/>
          </w:tcPr>
          <w:p w14:paraId="408E65B2">
            <w:pPr>
              <w:rPr>
                <w:rFonts w:hint="eastAsia"/>
                <w:sz w:val="24"/>
                <w:szCs w:val="24"/>
                <w:vertAlign w:val="baseline"/>
                <w:lang w:val="en-US" w:eastAsia="zh-CN"/>
              </w:rPr>
            </w:pPr>
          </w:p>
          <w:p w14:paraId="3A545B17">
            <w:pPr>
              <w:rPr>
                <w:rFonts w:hint="eastAsia"/>
                <w:sz w:val="24"/>
                <w:szCs w:val="24"/>
                <w:vertAlign w:val="baseline"/>
                <w:lang w:val="en-US" w:eastAsia="zh-CN"/>
              </w:rPr>
            </w:pPr>
          </w:p>
          <w:p w14:paraId="7A8B4DB9">
            <w:pPr>
              <w:rPr>
                <w:rFonts w:hint="eastAsia"/>
                <w:sz w:val="24"/>
                <w:szCs w:val="24"/>
                <w:vertAlign w:val="baseline"/>
                <w:lang w:val="en-US" w:eastAsia="zh-CN"/>
              </w:rPr>
            </w:pPr>
          </w:p>
          <w:p w14:paraId="08A64F07">
            <w:pPr>
              <w:rPr>
                <w:rFonts w:hint="eastAsia"/>
                <w:sz w:val="24"/>
                <w:szCs w:val="24"/>
                <w:vertAlign w:val="baseline"/>
                <w:lang w:val="en-US" w:eastAsia="zh-CN"/>
              </w:rPr>
            </w:pPr>
          </w:p>
          <w:p w14:paraId="64E61D13">
            <w:pPr>
              <w:rPr>
                <w:rFonts w:hint="eastAsia"/>
                <w:sz w:val="24"/>
                <w:szCs w:val="24"/>
                <w:vertAlign w:val="baseline"/>
                <w:lang w:val="en-US" w:eastAsia="zh-CN"/>
              </w:rPr>
            </w:pPr>
          </w:p>
          <w:p w14:paraId="72F059AD">
            <w:pPr>
              <w:rPr>
                <w:rFonts w:hint="eastAsia"/>
                <w:sz w:val="24"/>
                <w:szCs w:val="24"/>
                <w:vertAlign w:val="baseline"/>
                <w:lang w:val="en-US" w:eastAsia="zh-CN"/>
              </w:rPr>
            </w:pPr>
          </w:p>
          <w:p w14:paraId="32D48D82">
            <w:pPr>
              <w:rPr>
                <w:rFonts w:hint="eastAsia"/>
                <w:sz w:val="24"/>
                <w:szCs w:val="24"/>
                <w:vertAlign w:val="baseline"/>
                <w:lang w:val="en-US" w:eastAsia="zh-CN"/>
              </w:rPr>
            </w:pPr>
          </w:p>
          <w:p w14:paraId="6A70B3E7">
            <w:pPr>
              <w:rPr>
                <w:rFonts w:hint="eastAsia"/>
                <w:sz w:val="24"/>
                <w:szCs w:val="24"/>
                <w:vertAlign w:val="baseline"/>
                <w:lang w:val="en-US" w:eastAsia="zh-CN"/>
              </w:rPr>
            </w:pPr>
          </w:p>
          <w:p w14:paraId="3618B183">
            <w:pPr>
              <w:rPr>
                <w:rFonts w:hint="eastAsia"/>
                <w:sz w:val="24"/>
                <w:szCs w:val="24"/>
                <w:vertAlign w:val="baseline"/>
                <w:lang w:val="en-US" w:eastAsia="zh-CN"/>
              </w:rPr>
            </w:pPr>
          </w:p>
          <w:p w14:paraId="1E112283">
            <w:pPr>
              <w:rPr>
                <w:rFonts w:hint="eastAsia" w:eastAsiaTheme="minorEastAsia"/>
                <w:sz w:val="24"/>
                <w:szCs w:val="24"/>
                <w:vertAlign w:val="baseline"/>
                <w:lang w:val="en-US" w:eastAsia="zh-CN"/>
              </w:rPr>
            </w:pPr>
            <w:r>
              <w:rPr>
                <w:rFonts w:hint="eastAsia"/>
                <w:sz w:val="24"/>
                <w:szCs w:val="24"/>
                <w:vertAlign w:val="baseline"/>
                <w:lang w:val="en-US" w:eastAsia="zh-CN"/>
              </w:rPr>
              <w:t>4</w:t>
            </w:r>
          </w:p>
        </w:tc>
        <w:tc>
          <w:tcPr>
            <w:tcW w:w="735" w:type="dxa"/>
          </w:tcPr>
          <w:p w14:paraId="12CE35C0">
            <w:pPr>
              <w:rPr>
                <w:rFonts w:hint="eastAsia"/>
                <w:sz w:val="24"/>
                <w:szCs w:val="24"/>
                <w:vertAlign w:val="baseline"/>
              </w:rPr>
            </w:pPr>
            <w:r>
              <w:rPr>
                <w:rFonts w:hint="eastAsia"/>
                <w:sz w:val="24"/>
                <w:szCs w:val="24"/>
                <w:vertAlign w:val="baseline"/>
              </w:rPr>
              <w:t>多导睡眠呼吸监测仪</w:t>
            </w:r>
          </w:p>
        </w:tc>
        <w:tc>
          <w:tcPr>
            <w:tcW w:w="11415" w:type="dxa"/>
          </w:tcPr>
          <w:p w14:paraId="770C3E62">
            <w:pPr>
              <w:rPr>
                <w:rFonts w:hint="eastAsia"/>
                <w:sz w:val="24"/>
                <w:szCs w:val="24"/>
                <w:vertAlign w:val="baseline"/>
              </w:rPr>
            </w:pPr>
            <w:r>
              <w:rPr>
                <w:rFonts w:hint="eastAsia"/>
                <w:sz w:val="24"/>
                <w:szCs w:val="24"/>
                <w:vertAlign w:val="baseline"/>
              </w:rPr>
              <w:t>多导睡眠呼吸监测仪技术参数</w:t>
            </w:r>
          </w:p>
          <w:p w14:paraId="625254EB">
            <w:pPr>
              <w:rPr>
                <w:rFonts w:hint="eastAsia"/>
                <w:sz w:val="24"/>
                <w:szCs w:val="24"/>
                <w:vertAlign w:val="baseline"/>
              </w:rPr>
            </w:pPr>
            <w:r>
              <w:rPr>
                <w:rFonts w:hint="eastAsia"/>
                <w:sz w:val="24"/>
                <w:szCs w:val="24"/>
                <w:vertAlign w:val="baseline"/>
              </w:rPr>
              <w:t>1 硬件系统</w:t>
            </w:r>
          </w:p>
          <w:p w14:paraId="710BCFD0">
            <w:pPr>
              <w:rPr>
                <w:rFonts w:hint="eastAsia"/>
                <w:sz w:val="24"/>
                <w:szCs w:val="24"/>
                <w:vertAlign w:val="baseline"/>
              </w:rPr>
            </w:pPr>
            <w:r>
              <w:rPr>
                <w:rFonts w:hint="eastAsia"/>
                <w:sz w:val="24"/>
                <w:szCs w:val="24"/>
                <w:vertAlign w:val="baseline"/>
              </w:rPr>
              <w:t>1.1 满足科室睡眠呼吸暂停、低通气综合征诊断与治疗的临床和科研教学需要，产品注册证需明确为“多导睡眠呼吸监测仪”类产品。</w:t>
            </w:r>
          </w:p>
          <w:p w14:paraId="093A5BF3">
            <w:pPr>
              <w:rPr>
                <w:rFonts w:hint="eastAsia"/>
                <w:sz w:val="24"/>
                <w:szCs w:val="24"/>
                <w:vertAlign w:val="baseline"/>
              </w:rPr>
            </w:pPr>
            <w:r>
              <w:rPr>
                <w:rFonts w:hint="eastAsia"/>
                <w:sz w:val="24"/>
                <w:szCs w:val="24"/>
                <w:vertAlign w:val="baseline"/>
              </w:rPr>
              <w:t>*1.2 通道数 ≥35导联。</w:t>
            </w:r>
          </w:p>
          <w:p w14:paraId="2613A215">
            <w:pPr>
              <w:rPr>
                <w:rFonts w:hint="eastAsia"/>
                <w:sz w:val="24"/>
                <w:szCs w:val="24"/>
                <w:vertAlign w:val="baseline"/>
              </w:rPr>
            </w:pPr>
            <w:r>
              <w:rPr>
                <w:rFonts w:hint="eastAsia"/>
                <w:sz w:val="24"/>
                <w:szCs w:val="24"/>
                <w:vertAlign w:val="baseline"/>
              </w:rPr>
              <w:t>*1.3可监测信号：高频信号5导联、体位、呼吸机输出参数（14导联）、CPAP压力监测、舒张压（心电接法时可获取）、收缩压（心电接法时可获取）、独立热敏式口鼻气流、独立压力式鼻气流、血氧饱和度、脉率、脉搏波、体积描记式胸部呼吸运动、体积描记式腹部呼吸运动、压力式鼾声、非内置的独立麦克风式鼾声传感器、压力式鼾声传感器</w:t>
            </w:r>
          </w:p>
          <w:p w14:paraId="75311702">
            <w:pPr>
              <w:rPr>
                <w:rFonts w:hint="eastAsia"/>
                <w:sz w:val="24"/>
                <w:szCs w:val="24"/>
                <w:vertAlign w:val="baseline"/>
              </w:rPr>
            </w:pPr>
            <w:r>
              <w:rPr>
                <w:rFonts w:hint="eastAsia"/>
                <w:sz w:val="24"/>
                <w:szCs w:val="24"/>
                <w:vertAlign w:val="baseline"/>
              </w:rPr>
              <w:t>1.4 共模抑制比 ≥80dB，输入阻抗≥10MΩ，采样频率≥2000HZ，实际存储率≥500HZ</w:t>
            </w:r>
          </w:p>
          <w:p w14:paraId="562434B3">
            <w:pPr>
              <w:rPr>
                <w:rFonts w:hint="eastAsia"/>
                <w:sz w:val="24"/>
                <w:szCs w:val="24"/>
                <w:vertAlign w:val="baseline"/>
              </w:rPr>
            </w:pPr>
            <w:r>
              <w:rPr>
                <w:rFonts w:hint="eastAsia"/>
                <w:sz w:val="24"/>
                <w:szCs w:val="24"/>
                <w:vertAlign w:val="baseline"/>
              </w:rPr>
              <w:t>1.5 采样精度≥24bit</w:t>
            </w:r>
          </w:p>
          <w:p w14:paraId="65B096FE">
            <w:pPr>
              <w:rPr>
                <w:rFonts w:hint="eastAsia"/>
                <w:sz w:val="24"/>
                <w:szCs w:val="24"/>
                <w:vertAlign w:val="baseline"/>
              </w:rPr>
            </w:pPr>
            <w:r>
              <w:rPr>
                <w:rFonts w:hint="eastAsia"/>
                <w:sz w:val="24"/>
                <w:szCs w:val="24"/>
                <w:vertAlign w:val="baseline"/>
              </w:rPr>
              <w:t>1.6 整机便携式设计，主机、采集盒可佩戴于患者身上使用；主机小巧轻便，内置存储卡。</w:t>
            </w:r>
          </w:p>
          <w:p w14:paraId="7F512090">
            <w:pPr>
              <w:rPr>
                <w:rFonts w:hint="eastAsia"/>
                <w:sz w:val="24"/>
                <w:szCs w:val="24"/>
                <w:vertAlign w:val="baseline"/>
              </w:rPr>
            </w:pPr>
            <w:r>
              <w:rPr>
                <w:rFonts w:hint="eastAsia"/>
                <w:sz w:val="24"/>
                <w:szCs w:val="24"/>
                <w:vertAlign w:val="baseline"/>
              </w:rPr>
              <w:t>1.7 主机采用AA电池或镍氢充电电池供电，避免专用充电电池长期使用带来的容量降低，影响监测时长问题。</w:t>
            </w:r>
          </w:p>
          <w:p w14:paraId="6CA48241">
            <w:pPr>
              <w:rPr>
                <w:rFonts w:hint="eastAsia"/>
                <w:sz w:val="24"/>
                <w:szCs w:val="24"/>
                <w:vertAlign w:val="baseline"/>
              </w:rPr>
            </w:pPr>
            <w:r>
              <w:rPr>
                <w:rFonts w:hint="eastAsia"/>
                <w:sz w:val="24"/>
                <w:szCs w:val="24"/>
                <w:vertAlign w:val="baseline"/>
              </w:rPr>
              <w:t>1.8 采集盒采用模块化插拔设计，具备国际标准高频信号导联线孔位，所有孔位可自定义导联点位。</w:t>
            </w:r>
          </w:p>
          <w:p w14:paraId="78D30D0A">
            <w:pPr>
              <w:rPr>
                <w:rFonts w:hint="eastAsia"/>
                <w:sz w:val="24"/>
                <w:szCs w:val="24"/>
                <w:vertAlign w:val="baseline"/>
              </w:rPr>
            </w:pPr>
            <w:r>
              <w:rPr>
                <w:rFonts w:hint="eastAsia"/>
                <w:sz w:val="24"/>
                <w:szCs w:val="24"/>
                <w:vertAlign w:val="baseline"/>
              </w:rPr>
              <w:t>1.9 高频信号导联线采用非集成导联线的统一标准插口，便于发生损坏后的单个维修更换配件，降低维修成本。</w:t>
            </w:r>
          </w:p>
          <w:p w14:paraId="2243DD0C">
            <w:pPr>
              <w:rPr>
                <w:rFonts w:hint="eastAsia"/>
                <w:sz w:val="24"/>
                <w:szCs w:val="24"/>
                <w:vertAlign w:val="baseline"/>
              </w:rPr>
            </w:pPr>
            <w:r>
              <w:rPr>
                <w:rFonts w:hint="eastAsia"/>
                <w:sz w:val="24"/>
                <w:szCs w:val="24"/>
                <w:vertAlign w:val="baseline"/>
              </w:rPr>
              <w:t>1.10 用于移动式监测，所有数据无线传输至平板电脑并实时显示，可满足不同的临床需求</w:t>
            </w:r>
          </w:p>
          <w:p w14:paraId="3579724B">
            <w:pPr>
              <w:rPr>
                <w:rFonts w:hint="eastAsia"/>
                <w:sz w:val="24"/>
                <w:szCs w:val="24"/>
                <w:vertAlign w:val="baseline"/>
              </w:rPr>
            </w:pPr>
            <w:r>
              <w:rPr>
                <w:rFonts w:hint="eastAsia"/>
                <w:sz w:val="24"/>
                <w:szCs w:val="24"/>
                <w:vertAlign w:val="baseline"/>
              </w:rPr>
              <w:t>1.11 支持有线与无线（蓝牙、SD卡、WiFi）数据传输，内置高速SD存储卡，并可实现信号中断恢复后连续记录，保证数据安全。</w:t>
            </w:r>
          </w:p>
          <w:p w14:paraId="23B6EABD">
            <w:pPr>
              <w:rPr>
                <w:rFonts w:hint="eastAsia"/>
                <w:sz w:val="24"/>
                <w:szCs w:val="24"/>
                <w:vertAlign w:val="baseline"/>
              </w:rPr>
            </w:pPr>
            <w:r>
              <w:rPr>
                <w:rFonts w:hint="eastAsia"/>
                <w:sz w:val="24"/>
                <w:szCs w:val="24"/>
                <w:vertAlign w:val="baseline"/>
              </w:rPr>
              <w:t>1.12  SD卡存储空间达到上限后无需手动删除内存，设备可自动循环覆盖最早的记录数据，减轻临床工作。</w:t>
            </w:r>
          </w:p>
          <w:p w14:paraId="49E42511">
            <w:pPr>
              <w:rPr>
                <w:rFonts w:hint="eastAsia"/>
                <w:sz w:val="24"/>
                <w:szCs w:val="24"/>
                <w:vertAlign w:val="baseline"/>
              </w:rPr>
            </w:pPr>
          </w:p>
          <w:p w14:paraId="27DAD083">
            <w:pPr>
              <w:rPr>
                <w:rFonts w:hint="eastAsia"/>
                <w:sz w:val="24"/>
                <w:szCs w:val="24"/>
                <w:vertAlign w:val="baseline"/>
              </w:rPr>
            </w:pPr>
            <w:r>
              <w:rPr>
                <w:rFonts w:hint="eastAsia"/>
                <w:sz w:val="24"/>
                <w:szCs w:val="24"/>
                <w:vertAlign w:val="baseline"/>
              </w:rPr>
              <w:t>2 软件系统</w:t>
            </w:r>
          </w:p>
          <w:p w14:paraId="7BBA34BF">
            <w:pPr>
              <w:rPr>
                <w:rFonts w:hint="eastAsia"/>
                <w:sz w:val="24"/>
                <w:szCs w:val="24"/>
                <w:vertAlign w:val="baseline"/>
              </w:rPr>
            </w:pPr>
            <w:r>
              <w:rPr>
                <w:rFonts w:hint="eastAsia"/>
                <w:sz w:val="24"/>
                <w:szCs w:val="24"/>
                <w:vertAlign w:val="baseline"/>
              </w:rPr>
              <w:t>*2.1 分析软件集成数据共享和分级诊疗平台，实现监测数据上、下级双向无线传输的教学目的；平台免费开放账号。</w:t>
            </w:r>
          </w:p>
          <w:p w14:paraId="0E01A384">
            <w:pPr>
              <w:rPr>
                <w:rFonts w:hint="eastAsia"/>
                <w:sz w:val="24"/>
                <w:szCs w:val="24"/>
                <w:vertAlign w:val="baseline"/>
              </w:rPr>
            </w:pPr>
            <w:r>
              <w:rPr>
                <w:rFonts w:hint="eastAsia"/>
                <w:sz w:val="24"/>
                <w:szCs w:val="24"/>
                <w:vertAlign w:val="baseline"/>
              </w:rPr>
              <w:t>*2.2 具备专用APP通过蓝牙与iPad相连接实现信号的实时无线传输，实现了更加人性化的人机交互方式，可以避免受限于计算机、显示器等床旁设备，医护人员可在门外通过平板电脑查看患者实时动态波形。</w:t>
            </w:r>
          </w:p>
          <w:p w14:paraId="60869A69">
            <w:pPr>
              <w:rPr>
                <w:rFonts w:hint="eastAsia"/>
                <w:sz w:val="24"/>
                <w:szCs w:val="24"/>
                <w:vertAlign w:val="baseline"/>
              </w:rPr>
            </w:pPr>
            <w:r>
              <w:rPr>
                <w:rFonts w:hint="eastAsia"/>
                <w:sz w:val="24"/>
                <w:szCs w:val="24"/>
                <w:vertAlign w:val="baseline"/>
              </w:rPr>
              <w:t>2.3 具有人性化通道状态提醒功能，在APP中可显示所有导联连接是否存在异常，并通过图形标注对应点位位置，帮助临床更为高效的进行导联安装及检查.</w:t>
            </w:r>
          </w:p>
          <w:p w14:paraId="2131292F">
            <w:pPr>
              <w:rPr>
                <w:rFonts w:hint="eastAsia"/>
                <w:sz w:val="24"/>
                <w:szCs w:val="24"/>
                <w:vertAlign w:val="baseline"/>
              </w:rPr>
            </w:pPr>
            <w:r>
              <w:rPr>
                <w:rFonts w:hint="eastAsia"/>
                <w:sz w:val="24"/>
                <w:szCs w:val="24"/>
                <w:vertAlign w:val="baseline"/>
              </w:rPr>
              <w:t>*2.4 连接导联时可在床旁通过iPad 移动终端APP实时显示阻抗数值大小显示，并通过颜色展示阻抗大小，无需对讲功能，减少人力成本。</w:t>
            </w:r>
          </w:p>
          <w:p w14:paraId="76B5DD4C">
            <w:pPr>
              <w:rPr>
                <w:rFonts w:hint="eastAsia"/>
                <w:sz w:val="24"/>
                <w:szCs w:val="24"/>
                <w:vertAlign w:val="baseline"/>
              </w:rPr>
            </w:pPr>
            <w:r>
              <w:rPr>
                <w:rFonts w:hint="eastAsia"/>
                <w:sz w:val="24"/>
                <w:szCs w:val="24"/>
                <w:vertAlign w:val="baseline"/>
              </w:rPr>
              <w:t>2.5 用户可自定义选择智能APP需要显示波形信号，并可在软件中快速查看所有通道的实时波形，实时波形显示页面共分为6个页面。每个页面可显示6个波形，共可显示36个实时波形信号，更加方便的获取病人的实时睡眠状况</w:t>
            </w:r>
          </w:p>
          <w:p w14:paraId="61285251">
            <w:pPr>
              <w:rPr>
                <w:rFonts w:hint="eastAsia"/>
                <w:sz w:val="24"/>
                <w:szCs w:val="24"/>
                <w:vertAlign w:val="baseline"/>
              </w:rPr>
            </w:pPr>
            <w:r>
              <w:rPr>
                <w:rFonts w:hint="eastAsia"/>
                <w:sz w:val="24"/>
                <w:szCs w:val="24"/>
                <w:vertAlign w:val="baseline"/>
              </w:rPr>
              <w:t>2.6 PC分析软件符合AASM标准，可实现睡眠呼吸监测，多发小睡实验、分夜睡眠数据等多层次应用</w:t>
            </w:r>
          </w:p>
          <w:p w14:paraId="44E6D4C0">
            <w:pPr>
              <w:rPr>
                <w:rFonts w:hint="eastAsia"/>
                <w:sz w:val="24"/>
                <w:szCs w:val="24"/>
                <w:vertAlign w:val="baseline"/>
              </w:rPr>
            </w:pPr>
            <w:r>
              <w:rPr>
                <w:rFonts w:hint="eastAsia"/>
                <w:sz w:val="24"/>
                <w:szCs w:val="24"/>
                <w:vertAlign w:val="baseline"/>
              </w:rPr>
              <w:t>2.7 分析软件具有全中文操作界面，可生成全中文分析报告，方便临床进行报告分析及制定治疗方案</w:t>
            </w:r>
          </w:p>
          <w:p w14:paraId="58452291">
            <w:pPr>
              <w:rPr>
                <w:rFonts w:hint="eastAsia"/>
                <w:sz w:val="24"/>
                <w:szCs w:val="24"/>
                <w:vertAlign w:val="baseline"/>
              </w:rPr>
            </w:pPr>
            <w:r>
              <w:rPr>
                <w:rFonts w:hint="eastAsia"/>
                <w:sz w:val="24"/>
                <w:szCs w:val="24"/>
                <w:vertAlign w:val="baseline"/>
              </w:rPr>
              <w:t>2.8 同时具备AHI和RDI（包括AHI、RERA和气流受限等不确定呼吸事件）指标</w:t>
            </w:r>
          </w:p>
          <w:p w14:paraId="7BB84B98">
            <w:pPr>
              <w:rPr>
                <w:rFonts w:hint="eastAsia"/>
                <w:sz w:val="24"/>
                <w:szCs w:val="24"/>
                <w:vertAlign w:val="baseline"/>
              </w:rPr>
            </w:pPr>
            <w:r>
              <w:rPr>
                <w:rFonts w:hint="eastAsia"/>
                <w:sz w:val="24"/>
                <w:szCs w:val="24"/>
                <w:vertAlign w:val="baseline"/>
              </w:rPr>
              <w:t>2.9 高频信号（如：EEG，ECG，EMG，EOG）与低频信号（如血氧、鼻气流、体位、腿动等）可自定义信号采样率并同屏显示，便于医生直观的进行睡眠分析</w:t>
            </w:r>
          </w:p>
          <w:p w14:paraId="40C50C9C">
            <w:pPr>
              <w:rPr>
                <w:rFonts w:hint="eastAsia"/>
                <w:sz w:val="24"/>
                <w:szCs w:val="24"/>
                <w:vertAlign w:val="baseline"/>
              </w:rPr>
            </w:pPr>
            <w:r>
              <w:rPr>
                <w:rFonts w:hint="eastAsia"/>
                <w:sz w:val="24"/>
                <w:szCs w:val="24"/>
                <w:vertAlign w:val="baseline"/>
              </w:rPr>
              <w:t>2.10 可对不同信号自定义设置高通滤波、低通滤波、工作频率，帮助临床滤除噪声干扰，获取更加准确的信号</w:t>
            </w:r>
          </w:p>
          <w:p w14:paraId="669AD5A7">
            <w:pPr>
              <w:rPr>
                <w:rFonts w:hint="eastAsia"/>
                <w:sz w:val="24"/>
                <w:szCs w:val="24"/>
                <w:vertAlign w:val="baseline"/>
              </w:rPr>
            </w:pPr>
            <w:r>
              <w:rPr>
                <w:rFonts w:hint="eastAsia"/>
                <w:sz w:val="24"/>
                <w:szCs w:val="24"/>
                <w:vertAlign w:val="baseline"/>
              </w:rPr>
              <w:t>2.11 配有高性能电极和呼吸努力度传感器，胸、腹传感器采用体积描记式传感器，能准确监测胸腹运动的细小变化。</w:t>
            </w:r>
          </w:p>
          <w:p w14:paraId="3C08268D">
            <w:pPr>
              <w:rPr>
                <w:rFonts w:hint="eastAsia"/>
                <w:sz w:val="24"/>
                <w:szCs w:val="24"/>
                <w:vertAlign w:val="baseline"/>
              </w:rPr>
            </w:pPr>
            <w:r>
              <w:rPr>
                <w:rFonts w:hint="eastAsia"/>
                <w:sz w:val="24"/>
                <w:szCs w:val="24"/>
                <w:vertAlign w:val="baseline"/>
              </w:rPr>
              <w:t>2.12 软件可以色标标记睡眠各期纺锤波Spindles，K复合波，Delta波，REM期的反相眼球运动等，医生可自由定义分析标准为医生进行睡眠分析提供帮助</w:t>
            </w:r>
          </w:p>
          <w:p w14:paraId="7553DA70">
            <w:pPr>
              <w:rPr>
                <w:rFonts w:hint="eastAsia"/>
                <w:sz w:val="24"/>
                <w:szCs w:val="24"/>
                <w:vertAlign w:val="baseline"/>
              </w:rPr>
            </w:pPr>
            <w:r>
              <w:rPr>
                <w:rFonts w:hint="eastAsia"/>
                <w:sz w:val="24"/>
                <w:szCs w:val="24"/>
                <w:vertAlign w:val="baseline"/>
              </w:rPr>
              <w:t>2.13 专业PSG多导睡眠采集分析软件包括：睡眠分期、微觉醒事件、周期性腿动、呼吸事件、心律失常、ST段、心率变异性、氧减事件、心血管事件、睡眠微结构、体位、鼾声事件等事件分析，可全面的掌握病人整晚夜间睡眠状况</w:t>
            </w:r>
          </w:p>
          <w:p w14:paraId="2152EB3F">
            <w:pPr>
              <w:rPr>
                <w:rFonts w:hint="eastAsia"/>
                <w:sz w:val="24"/>
                <w:szCs w:val="24"/>
                <w:vertAlign w:val="baseline"/>
              </w:rPr>
            </w:pPr>
            <w:r>
              <w:rPr>
                <w:rFonts w:hint="eastAsia"/>
                <w:sz w:val="24"/>
                <w:szCs w:val="24"/>
                <w:vertAlign w:val="baseline"/>
              </w:rPr>
              <w:t>2.14 自定义腿动事件分析设置包括：灵敏度、单次腿动最短持续时间、单次腿动最长持续时间、PLMS最短时间间隔、PLMS最长时间间隔和PLMS所含最少腿动次数，全面帮助临床进行腿动事件分析</w:t>
            </w:r>
          </w:p>
          <w:p w14:paraId="7F997E48">
            <w:pPr>
              <w:rPr>
                <w:rFonts w:hint="eastAsia"/>
                <w:sz w:val="24"/>
                <w:szCs w:val="24"/>
                <w:vertAlign w:val="baseline"/>
              </w:rPr>
            </w:pPr>
            <w:r>
              <w:rPr>
                <w:rFonts w:hint="eastAsia"/>
                <w:sz w:val="24"/>
                <w:szCs w:val="24"/>
                <w:vertAlign w:val="baseline"/>
              </w:rPr>
              <w:t>2.15 ECG专业心电分析功能，可完成心电数据统计及分析，包含QRS复合波的分类、心率失常的检测和分类、呼吸暂停和低通气发生时的心率失常事件统计、ST段和正常R-R间期趋势图、心率变异性分析等，可自定义设置心电事件分析包含：心动过速阈值、心动过缓阈值、宽复合波心电过速阈值、窄复合波心电过速阈值的参数，为临床全面准确分析心电事件提供重要依据</w:t>
            </w:r>
          </w:p>
          <w:p w14:paraId="15821039">
            <w:pPr>
              <w:rPr>
                <w:rFonts w:hint="eastAsia"/>
                <w:sz w:val="24"/>
                <w:szCs w:val="24"/>
                <w:vertAlign w:val="baseline"/>
              </w:rPr>
            </w:pPr>
            <w:r>
              <w:rPr>
                <w:rFonts w:hint="eastAsia"/>
                <w:sz w:val="24"/>
                <w:szCs w:val="24"/>
                <w:vertAlign w:val="baseline"/>
              </w:rPr>
              <w:t>2.16 可生成夜间血压趋势图，并出具舒张压、收缩压的报告，包括最大值、最小值和平均值。</w:t>
            </w:r>
          </w:p>
          <w:p w14:paraId="7E7BE2FF">
            <w:pPr>
              <w:rPr>
                <w:rFonts w:hint="eastAsia"/>
                <w:sz w:val="24"/>
                <w:szCs w:val="24"/>
                <w:vertAlign w:val="baseline"/>
              </w:rPr>
            </w:pPr>
            <w:r>
              <w:rPr>
                <w:rFonts w:hint="eastAsia"/>
                <w:sz w:val="24"/>
                <w:szCs w:val="24"/>
                <w:vertAlign w:val="baseline"/>
              </w:rPr>
              <w:t>2.17 可自定义标记事件标签及颜色，便于临床观察及分析</w:t>
            </w:r>
          </w:p>
          <w:p w14:paraId="39F71DC5">
            <w:pPr>
              <w:rPr>
                <w:rFonts w:hint="eastAsia"/>
                <w:sz w:val="24"/>
                <w:szCs w:val="24"/>
                <w:vertAlign w:val="baseline"/>
              </w:rPr>
            </w:pPr>
            <w:r>
              <w:rPr>
                <w:rFonts w:hint="eastAsia"/>
                <w:sz w:val="24"/>
                <w:szCs w:val="24"/>
                <w:vertAlign w:val="baseline"/>
              </w:rPr>
              <w:t>*2.18 分析软件内置远程无线呼吸机压力滴定界面，选配全模式滴定呼吸机，同时具备CPAP、AutoCPAP、S、AutoS、T、S/T模式和目标潮气量功能。</w:t>
            </w:r>
          </w:p>
          <w:p w14:paraId="64639763">
            <w:pPr>
              <w:rPr>
                <w:rFonts w:hint="eastAsia"/>
                <w:sz w:val="24"/>
                <w:szCs w:val="24"/>
                <w:vertAlign w:val="baseline"/>
              </w:rPr>
            </w:pPr>
            <w:r>
              <w:rPr>
                <w:rFonts w:hint="eastAsia"/>
                <w:sz w:val="24"/>
                <w:szCs w:val="24"/>
                <w:vertAlign w:val="baseline"/>
              </w:rPr>
              <w:t xml:space="preserve">*2.19呼吸机通过wifi连接电脑，并在采集软件中同时控制11个的呼吸机参数（CPAP、IPAP、EPAP、I SENSE、E SENSE、Rise Time、RR、E\I、Ti min/Ti max、VT、leak），并在采集软件中实时显示3个呼吸机波形变化，通过潮气量、吸气时间、触发灵敏度等高级设置，可轻松应对睡眠呼吸暂停及其他复杂重叠病人的压力滴定治疗。 </w:t>
            </w:r>
          </w:p>
          <w:p w14:paraId="0FC65A34">
            <w:pPr>
              <w:rPr>
                <w:rFonts w:hint="eastAsia"/>
                <w:sz w:val="24"/>
                <w:szCs w:val="24"/>
                <w:vertAlign w:val="baseline"/>
              </w:rPr>
            </w:pPr>
            <w:r>
              <w:rPr>
                <w:rFonts w:hint="eastAsia"/>
                <w:sz w:val="24"/>
                <w:szCs w:val="24"/>
                <w:vertAlign w:val="baseline"/>
              </w:rPr>
              <w:t>2.20 可帮助临床进行多发小睡实验（MSLT），方便临床掌握病人夜间觉醒状态</w:t>
            </w:r>
          </w:p>
          <w:p w14:paraId="4B396F7E">
            <w:pPr>
              <w:rPr>
                <w:rFonts w:hint="eastAsia"/>
                <w:sz w:val="24"/>
                <w:szCs w:val="24"/>
                <w:vertAlign w:val="baseline"/>
              </w:rPr>
            </w:pPr>
            <w:r>
              <w:rPr>
                <w:rFonts w:hint="eastAsia"/>
                <w:sz w:val="24"/>
                <w:szCs w:val="24"/>
                <w:vertAlign w:val="baseline"/>
              </w:rPr>
              <w:t>2.21 采集时病人发生异常情况，如血氧过低、脉率异常等可声光报警，临床可及时获取病人在监测时的突发情况。</w:t>
            </w:r>
          </w:p>
          <w:p w14:paraId="198991D9">
            <w:pPr>
              <w:rPr>
                <w:rFonts w:hint="eastAsia"/>
                <w:sz w:val="24"/>
                <w:szCs w:val="24"/>
                <w:vertAlign w:val="baseline"/>
              </w:rPr>
            </w:pPr>
            <w:r>
              <w:rPr>
                <w:rFonts w:hint="eastAsia"/>
                <w:sz w:val="24"/>
                <w:szCs w:val="24"/>
                <w:vertAlign w:val="baseline"/>
              </w:rPr>
              <w:t>2.22 可自由定义患者报告，包括报告语言、样式、不同事件分析、趋势图、抬头等，方便临床进行睡眠报告解读分析</w:t>
            </w:r>
          </w:p>
          <w:p w14:paraId="22A19939">
            <w:pPr>
              <w:rPr>
                <w:rFonts w:hint="eastAsia"/>
                <w:sz w:val="24"/>
                <w:szCs w:val="24"/>
                <w:vertAlign w:val="baseline"/>
              </w:rPr>
            </w:pPr>
            <w:r>
              <w:rPr>
                <w:rFonts w:hint="eastAsia"/>
                <w:sz w:val="24"/>
                <w:szCs w:val="24"/>
                <w:vertAlign w:val="baseline"/>
              </w:rPr>
              <w:t>2.23 配套软件基于Windows 平台，具备 EDF数据传输包、可生产PDF报告文件和WORD报告文件，报告内容可根据临床要求自定义编辑</w:t>
            </w:r>
          </w:p>
          <w:p w14:paraId="7B12F85C">
            <w:pPr>
              <w:rPr>
                <w:rFonts w:hint="eastAsia"/>
                <w:sz w:val="24"/>
                <w:szCs w:val="24"/>
                <w:vertAlign w:val="baseline"/>
              </w:rPr>
            </w:pPr>
            <w:r>
              <w:rPr>
                <w:rFonts w:hint="eastAsia"/>
                <w:sz w:val="24"/>
                <w:szCs w:val="24"/>
                <w:vertAlign w:val="baseline"/>
              </w:rPr>
              <w:t>*2.24  监测软件的云平台功能可实现上级医院账号对应多家下级医院账号，满足分级诊疗需要。上级医院可获取下级医院主动传输的睡眠监测原始数据波形，并在加以分析后将分析结果会传给对应的下级医院，满足院间分级诊疗需要。通过云平台传输的数据可保存在电脑本地，也可在云端服务器保存半年，便于回顾总结。</w:t>
            </w:r>
          </w:p>
          <w:p w14:paraId="54EF4C1A">
            <w:pPr>
              <w:rPr>
                <w:rFonts w:hint="eastAsia"/>
                <w:sz w:val="24"/>
                <w:szCs w:val="24"/>
                <w:vertAlign w:val="baseline"/>
              </w:rPr>
            </w:pPr>
            <w:r>
              <w:rPr>
                <w:rFonts w:hint="eastAsia"/>
                <w:sz w:val="24"/>
                <w:szCs w:val="24"/>
                <w:vertAlign w:val="baseline"/>
              </w:rPr>
              <w:t>3.配置要求</w:t>
            </w:r>
          </w:p>
          <w:p w14:paraId="22FADCE0">
            <w:pPr>
              <w:rPr>
                <w:rFonts w:hint="eastAsia" w:eastAsiaTheme="minorEastAsia"/>
                <w:sz w:val="24"/>
                <w:szCs w:val="24"/>
                <w:vertAlign w:val="baseline"/>
                <w:lang w:eastAsia="zh-CN"/>
              </w:rPr>
            </w:pPr>
            <w:r>
              <w:rPr>
                <w:rFonts w:hint="eastAsia"/>
                <w:sz w:val="24"/>
                <w:szCs w:val="24"/>
                <w:vertAlign w:val="baseline"/>
              </w:rPr>
              <w:t>睡眠分析软件1套</w:t>
            </w:r>
            <w:r>
              <w:rPr>
                <w:rFonts w:hint="eastAsia"/>
                <w:sz w:val="24"/>
                <w:szCs w:val="24"/>
                <w:vertAlign w:val="baseline"/>
                <w:lang w:eastAsia="zh-CN"/>
              </w:rPr>
              <w:t>、</w:t>
            </w:r>
            <w:r>
              <w:rPr>
                <w:rFonts w:hint="eastAsia"/>
                <w:sz w:val="24"/>
                <w:szCs w:val="24"/>
                <w:vertAlign w:val="baseline"/>
              </w:rPr>
              <w:t>睡眠监测主机1台</w:t>
            </w:r>
            <w:r>
              <w:rPr>
                <w:rFonts w:hint="eastAsia"/>
                <w:sz w:val="24"/>
                <w:szCs w:val="24"/>
                <w:vertAlign w:val="baseline"/>
                <w:lang w:eastAsia="zh-CN"/>
              </w:rPr>
              <w:t>、</w:t>
            </w:r>
            <w:r>
              <w:rPr>
                <w:rFonts w:hint="eastAsia"/>
                <w:sz w:val="24"/>
                <w:szCs w:val="24"/>
                <w:vertAlign w:val="baseline"/>
              </w:rPr>
              <w:t>心电组件采集盒1个</w:t>
            </w:r>
            <w:r>
              <w:rPr>
                <w:rFonts w:hint="eastAsia"/>
                <w:sz w:val="24"/>
                <w:szCs w:val="24"/>
                <w:vertAlign w:val="baseline"/>
                <w:lang w:eastAsia="zh-CN"/>
              </w:rPr>
              <w:t>、</w:t>
            </w:r>
            <w:r>
              <w:rPr>
                <w:rFonts w:hint="eastAsia"/>
                <w:sz w:val="24"/>
                <w:szCs w:val="24"/>
                <w:vertAlign w:val="baseline"/>
              </w:rPr>
              <w:t>心电电极线5条</w:t>
            </w:r>
            <w:r>
              <w:rPr>
                <w:rFonts w:hint="eastAsia"/>
                <w:sz w:val="24"/>
                <w:szCs w:val="24"/>
                <w:vertAlign w:val="baseline"/>
                <w:lang w:eastAsia="zh-CN"/>
              </w:rPr>
              <w:t>、</w:t>
            </w:r>
            <w:r>
              <w:rPr>
                <w:rFonts w:hint="eastAsia"/>
                <w:sz w:val="24"/>
                <w:szCs w:val="24"/>
                <w:vertAlign w:val="baseline"/>
              </w:rPr>
              <w:t>一次性电极50片</w:t>
            </w:r>
            <w:r>
              <w:rPr>
                <w:rFonts w:hint="eastAsia"/>
                <w:sz w:val="24"/>
                <w:szCs w:val="24"/>
                <w:vertAlign w:val="baseline"/>
                <w:lang w:eastAsia="zh-CN"/>
              </w:rPr>
              <w:t>、</w:t>
            </w:r>
            <w:r>
              <w:rPr>
                <w:rFonts w:hint="eastAsia"/>
                <w:sz w:val="24"/>
                <w:szCs w:val="24"/>
                <w:vertAlign w:val="baseline"/>
              </w:rPr>
              <w:t>胸腹呼吸导联线1条</w:t>
            </w:r>
            <w:r>
              <w:rPr>
                <w:rFonts w:hint="eastAsia"/>
                <w:sz w:val="24"/>
                <w:szCs w:val="24"/>
                <w:vertAlign w:val="baseline"/>
                <w:lang w:eastAsia="zh-CN"/>
              </w:rPr>
              <w:t>、</w:t>
            </w:r>
            <w:r>
              <w:rPr>
                <w:rFonts w:hint="eastAsia"/>
                <w:sz w:val="24"/>
                <w:szCs w:val="24"/>
                <w:vertAlign w:val="baseline"/>
              </w:rPr>
              <w:t>胸腹呼吸运动绑带2条</w:t>
            </w:r>
            <w:r>
              <w:rPr>
                <w:rFonts w:hint="eastAsia"/>
                <w:sz w:val="24"/>
                <w:szCs w:val="24"/>
                <w:vertAlign w:val="baseline"/>
                <w:lang w:eastAsia="zh-CN"/>
              </w:rPr>
              <w:t>、</w:t>
            </w:r>
            <w:r>
              <w:rPr>
                <w:rFonts w:hint="eastAsia"/>
                <w:sz w:val="24"/>
                <w:szCs w:val="24"/>
                <w:vertAlign w:val="baseline"/>
              </w:rPr>
              <w:t>麦克式鼾声传感器1个</w:t>
            </w:r>
            <w:r>
              <w:rPr>
                <w:rFonts w:hint="eastAsia"/>
                <w:sz w:val="24"/>
                <w:szCs w:val="24"/>
                <w:vertAlign w:val="baseline"/>
                <w:lang w:eastAsia="zh-CN"/>
              </w:rPr>
              <w:t>、</w:t>
            </w:r>
            <w:r>
              <w:rPr>
                <w:rFonts w:hint="eastAsia"/>
                <w:sz w:val="24"/>
                <w:szCs w:val="24"/>
                <w:vertAlign w:val="baseline"/>
              </w:rPr>
              <w:t>热敏式口鼻气流传感器1个</w:t>
            </w:r>
            <w:r>
              <w:rPr>
                <w:rFonts w:hint="eastAsia"/>
                <w:sz w:val="24"/>
                <w:szCs w:val="24"/>
                <w:vertAlign w:val="baseline"/>
                <w:lang w:eastAsia="zh-CN"/>
              </w:rPr>
              <w:t>、</w:t>
            </w:r>
            <w:r>
              <w:rPr>
                <w:rFonts w:hint="eastAsia"/>
                <w:sz w:val="24"/>
                <w:szCs w:val="24"/>
                <w:vertAlign w:val="baseline"/>
              </w:rPr>
              <w:t>血氧传感器1条</w:t>
            </w:r>
            <w:r>
              <w:rPr>
                <w:rFonts w:hint="eastAsia"/>
                <w:sz w:val="24"/>
                <w:szCs w:val="24"/>
                <w:vertAlign w:val="baseline"/>
                <w:lang w:eastAsia="zh-CN"/>
              </w:rPr>
              <w:t>、</w:t>
            </w:r>
            <w:r>
              <w:rPr>
                <w:rFonts w:hint="eastAsia"/>
                <w:sz w:val="24"/>
                <w:szCs w:val="24"/>
                <w:vertAlign w:val="baseline"/>
              </w:rPr>
              <w:t>CPAP压力滴定管1条</w:t>
            </w:r>
            <w:r>
              <w:rPr>
                <w:rFonts w:hint="eastAsia"/>
                <w:sz w:val="24"/>
                <w:szCs w:val="24"/>
                <w:vertAlign w:val="baseline"/>
                <w:lang w:eastAsia="zh-CN"/>
              </w:rPr>
              <w:t>、</w:t>
            </w:r>
            <w:r>
              <w:rPr>
                <w:rFonts w:hint="eastAsia"/>
                <w:sz w:val="24"/>
                <w:szCs w:val="24"/>
                <w:vertAlign w:val="baseline"/>
              </w:rPr>
              <w:t>鼻气流管1条</w:t>
            </w:r>
            <w:r>
              <w:rPr>
                <w:rFonts w:hint="eastAsia"/>
                <w:sz w:val="24"/>
                <w:szCs w:val="24"/>
                <w:vertAlign w:val="baseline"/>
                <w:lang w:eastAsia="zh-CN"/>
              </w:rPr>
              <w:t>、</w:t>
            </w:r>
            <w:r>
              <w:rPr>
                <w:rFonts w:hint="eastAsia"/>
                <w:sz w:val="24"/>
                <w:szCs w:val="24"/>
                <w:vertAlign w:val="baseline"/>
              </w:rPr>
              <w:t>数据存储卡1张</w:t>
            </w:r>
            <w:r>
              <w:rPr>
                <w:rFonts w:hint="eastAsia"/>
                <w:sz w:val="24"/>
                <w:szCs w:val="24"/>
                <w:vertAlign w:val="baseline"/>
                <w:lang w:eastAsia="zh-CN"/>
              </w:rPr>
              <w:t>、</w:t>
            </w:r>
            <w:r>
              <w:rPr>
                <w:rFonts w:hint="eastAsia"/>
                <w:sz w:val="24"/>
                <w:szCs w:val="24"/>
                <w:vertAlign w:val="baseline"/>
              </w:rPr>
              <w:t>主机固定带1个</w:t>
            </w:r>
            <w:r>
              <w:rPr>
                <w:rFonts w:hint="eastAsia"/>
                <w:sz w:val="24"/>
                <w:szCs w:val="24"/>
                <w:vertAlign w:val="baseline"/>
                <w:lang w:eastAsia="zh-CN"/>
              </w:rPr>
              <w:t>、</w:t>
            </w:r>
            <w:r>
              <w:rPr>
                <w:rFonts w:hint="eastAsia"/>
                <w:sz w:val="24"/>
                <w:szCs w:val="24"/>
                <w:vertAlign w:val="baseline"/>
              </w:rPr>
              <w:t>固定肩带1个</w:t>
            </w:r>
            <w:r>
              <w:rPr>
                <w:rFonts w:hint="eastAsia"/>
                <w:sz w:val="24"/>
                <w:szCs w:val="24"/>
                <w:vertAlign w:val="baseline"/>
                <w:lang w:eastAsia="zh-CN"/>
              </w:rPr>
              <w:t>、</w:t>
            </w:r>
            <w:r>
              <w:rPr>
                <w:rFonts w:hint="eastAsia"/>
                <w:sz w:val="24"/>
                <w:szCs w:val="24"/>
                <w:vertAlign w:val="baseline"/>
              </w:rPr>
              <w:t>便携包1个</w:t>
            </w:r>
            <w:r>
              <w:rPr>
                <w:rFonts w:hint="eastAsia"/>
                <w:sz w:val="24"/>
                <w:szCs w:val="24"/>
                <w:vertAlign w:val="baseline"/>
                <w:lang w:eastAsia="zh-CN"/>
              </w:rPr>
              <w:t>。</w:t>
            </w:r>
          </w:p>
        </w:tc>
        <w:tc>
          <w:tcPr>
            <w:tcW w:w="885" w:type="dxa"/>
          </w:tcPr>
          <w:p w14:paraId="6F63167B">
            <w:pPr>
              <w:rPr>
                <w:rFonts w:hint="eastAsia"/>
                <w:b/>
                <w:bCs/>
                <w:sz w:val="36"/>
                <w:szCs w:val="36"/>
                <w:vertAlign w:val="baseline"/>
                <w:lang w:val="en-US" w:eastAsia="zh-CN"/>
              </w:rPr>
            </w:pPr>
          </w:p>
          <w:p w14:paraId="61D8D6F3">
            <w:pPr>
              <w:rPr>
                <w:rFonts w:hint="eastAsia"/>
                <w:b/>
                <w:bCs/>
                <w:sz w:val="36"/>
                <w:szCs w:val="36"/>
                <w:vertAlign w:val="baseline"/>
                <w:lang w:val="en-US" w:eastAsia="zh-CN"/>
              </w:rPr>
            </w:pPr>
          </w:p>
          <w:p w14:paraId="410EB3E3">
            <w:pPr>
              <w:rPr>
                <w:rFonts w:hint="eastAsia"/>
                <w:b/>
                <w:bCs/>
                <w:sz w:val="36"/>
                <w:szCs w:val="36"/>
                <w:vertAlign w:val="baseline"/>
                <w:lang w:val="en-US" w:eastAsia="zh-CN"/>
              </w:rPr>
            </w:pPr>
          </w:p>
          <w:p w14:paraId="3E6A0567">
            <w:pPr>
              <w:rPr>
                <w:rFonts w:hint="eastAsia"/>
                <w:b/>
                <w:bCs/>
                <w:sz w:val="36"/>
                <w:szCs w:val="36"/>
                <w:vertAlign w:val="baseline"/>
                <w:lang w:val="en-US" w:eastAsia="zh-CN"/>
              </w:rPr>
            </w:pPr>
          </w:p>
          <w:p w14:paraId="6C9E2C91">
            <w:pPr>
              <w:rPr>
                <w:rFonts w:hint="eastAsia" w:eastAsiaTheme="minorEastAsia"/>
                <w:b/>
                <w:bCs/>
                <w:sz w:val="36"/>
                <w:szCs w:val="36"/>
                <w:vertAlign w:val="baseline"/>
                <w:lang w:val="en-US" w:eastAsia="zh-CN"/>
              </w:rPr>
            </w:pPr>
            <w:r>
              <w:rPr>
                <w:rFonts w:hint="eastAsia"/>
                <w:b/>
                <w:bCs/>
                <w:sz w:val="36"/>
                <w:szCs w:val="36"/>
                <w:vertAlign w:val="baseline"/>
                <w:lang w:val="en-US" w:eastAsia="zh-CN"/>
              </w:rPr>
              <w:t>1</w:t>
            </w:r>
          </w:p>
        </w:tc>
        <w:tc>
          <w:tcPr>
            <w:tcW w:w="900" w:type="dxa"/>
          </w:tcPr>
          <w:p w14:paraId="15634098">
            <w:pPr>
              <w:rPr>
                <w:rFonts w:hint="eastAsia"/>
                <w:b/>
                <w:bCs/>
                <w:sz w:val="36"/>
                <w:szCs w:val="36"/>
                <w:vertAlign w:val="baseline"/>
                <w:lang w:val="en-US" w:eastAsia="zh-CN"/>
              </w:rPr>
            </w:pPr>
          </w:p>
          <w:p w14:paraId="11B180F2">
            <w:pPr>
              <w:rPr>
                <w:rFonts w:hint="eastAsia"/>
                <w:b/>
                <w:bCs/>
                <w:sz w:val="36"/>
                <w:szCs w:val="36"/>
                <w:vertAlign w:val="baseline"/>
                <w:lang w:val="en-US" w:eastAsia="zh-CN"/>
              </w:rPr>
            </w:pPr>
          </w:p>
          <w:p w14:paraId="31C8E363">
            <w:pPr>
              <w:rPr>
                <w:rFonts w:hint="eastAsia"/>
                <w:b/>
                <w:bCs/>
                <w:sz w:val="36"/>
                <w:szCs w:val="36"/>
                <w:vertAlign w:val="baseline"/>
                <w:lang w:val="en-US" w:eastAsia="zh-CN"/>
              </w:rPr>
            </w:pPr>
          </w:p>
          <w:p w14:paraId="673F7BFD">
            <w:pPr>
              <w:rPr>
                <w:rFonts w:hint="eastAsia"/>
                <w:b/>
                <w:bCs/>
                <w:sz w:val="36"/>
                <w:szCs w:val="36"/>
                <w:vertAlign w:val="baseline"/>
                <w:lang w:val="en-US" w:eastAsia="zh-CN"/>
              </w:rPr>
            </w:pPr>
          </w:p>
          <w:p w14:paraId="5FB38884">
            <w:pPr>
              <w:rPr>
                <w:rFonts w:hint="default" w:eastAsiaTheme="minorEastAsia"/>
                <w:b/>
                <w:bCs/>
                <w:sz w:val="36"/>
                <w:szCs w:val="36"/>
                <w:vertAlign w:val="baseline"/>
                <w:lang w:val="en-US" w:eastAsia="zh-CN"/>
              </w:rPr>
            </w:pPr>
            <w:r>
              <w:rPr>
                <w:rFonts w:hint="eastAsia"/>
                <w:b/>
                <w:bCs/>
                <w:sz w:val="36"/>
                <w:szCs w:val="36"/>
                <w:vertAlign w:val="baseline"/>
                <w:lang w:val="en-US" w:eastAsia="zh-CN"/>
              </w:rPr>
              <w:t>12</w:t>
            </w:r>
          </w:p>
        </w:tc>
        <w:tc>
          <w:tcPr>
            <w:tcW w:w="600" w:type="dxa"/>
          </w:tcPr>
          <w:p w14:paraId="2F1D75F4">
            <w:pPr>
              <w:rPr>
                <w:rFonts w:hint="eastAsia"/>
                <w:sz w:val="24"/>
                <w:szCs w:val="24"/>
                <w:vertAlign w:val="baseline"/>
              </w:rPr>
            </w:pPr>
          </w:p>
        </w:tc>
      </w:tr>
    </w:tbl>
    <w:p w14:paraId="118BB4DD">
      <w:pPr>
        <w:rPr>
          <w:sz w:val="24"/>
          <w:szCs w:val="24"/>
        </w:rPr>
      </w:pPr>
    </w:p>
    <w:sectPr>
      <w:pgSz w:w="16838" w:h="11906" w:orient="landscape"/>
      <w:pgMar w:top="1179" w:right="873" w:bottom="896" w:left="87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F3167D"/>
    <w:rsid w:val="26997893"/>
    <w:rsid w:val="3342504D"/>
    <w:rsid w:val="55A750D0"/>
    <w:rsid w:val="5EC56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2025-09-02T23:55:07Z</dcterms:created>
  <dc:creator>Lenovo</dc:creator>
  <cp:lastModifiedBy>海天一色</cp:lastModifiedBy>
  <dcterms:modified xsi:type="dcterms:W3CDTF">2025-09-03T00:18:24Z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eyJoZGlkIjoiZjY4NGQ1MmE2N2E4ZTU2YmJkYjE4NGQ5NzIyM2Q0ZTMiLCJ1c2VySWQiOiI1Mzg3MDIxMDQifQ==</vt:lpwstr>
  </property>
  <property fmtid="{D5CDD505-2E9C-101B-9397-08002B2CF9AE}" pid="4" name="ICV">
    <vt:lpwstr>4E03488EC4BC4553B16D8E2760B7B232_12</vt:lpwstr>
  </property>
</Properties>
</file>